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EF" w:rsidRDefault="00833AEF">
      <w:pPr>
        <w:rPr>
          <w:rFonts w:ascii="仿宋" w:eastAsia="仿宋" w:hAnsi="仿宋"/>
          <w:sz w:val="32"/>
          <w:szCs w:val="32"/>
        </w:rPr>
      </w:pPr>
    </w:p>
    <w:p w:rsidR="00833AEF" w:rsidRDefault="00C31D08">
      <w:pPr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二〇二二</w:t>
      </w:r>
      <w:r w:rsidR="00EC00E3">
        <w:rPr>
          <w:rFonts w:asciiTheme="majorEastAsia" w:eastAsiaTheme="majorEastAsia" w:hAnsiTheme="majorEastAsia" w:hint="eastAsia"/>
          <w:b/>
          <w:sz w:val="44"/>
          <w:szCs w:val="44"/>
        </w:rPr>
        <w:t>年龙南市政府性基金预算支出执行情况说明</w:t>
      </w:r>
    </w:p>
    <w:p w:rsidR="00833AEF" w:rsidRDefault="00833AE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一、文化旅游体育与传媒支出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="00C31D08" w:rsidRPr="00C31D08">
        <w:rPr>
          <w:rFonts w:ascii="仿宋_GB2312" w:eastAsia="仿宋_GB2312" w:hAnsi="仿宋_GB2312" w:cs="仿宋_GB2312" w:hint="eastAsia"/>
          <w:sz w:val="28"/>
          <w:szCs w:val="28"/>
        </w:rPr>
        <w:t>旅游发展基金支出</w:t>
      </w:r>
      <w:r w:rsidR="00C31D08">
        <w:rPr>
          <w:rFonts w:ascii="仿宋_GB2312" w:eastAsia="仿宋_GB2312" w:hAnsi="仿宋_GB2312" w:cs="仿宋_GB2312" w:hint="eastAsia"/>
          <w:sz w:val="28"/>
          <w:szCs w:val="28"/>
        </w:rPr>
        <w:t>执行数为15万元，</w:t>
      </w:r>
      <w:r>
        <w:rPr>
          <w:rFonts w:ascii="仿宋_GB2312" w:eastAsia="仿宋_GB2312" w:hAnsi="仿宋_GB2312" w:cs="仿宋_GB2312" w:hint="eastAsia"/>
          <w:sz w:val="28"/>
          <w:szCs w:val="28"/>
        </w:rPr>
        <w:t>较上年决算数（下同）下降</w:t>
      </w:r>
      <w:r w:rsidR="00C31D08">
        <w:rPr>
          <w:rFonts w:ascii="仿宋_GB2312" w:eastAsia="仿宋_GB2312" w:hAnsi="仿宋_GB2312" w:cs="仿宋_GB2312" w:hint="eastAsia"/>
          <w:sz w:val="28"/>
          <w:szCs w:val="28"/>
        </w:rPr>
        <w:t>68.1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2020年结余的旅游发展基金在2021年列支47万元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二、社会保障和就业支出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2.大中型水库移民后期扶持基金支出执行数为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62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万元，同比下降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57.2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 w:rsidR="00C419EE">
        <w:rPr>
          <w:rFonts w:ascii="仿宋_GB2312" w:eastAsia="仿宋_GB2312" w:hAnsi="仿宋_GB2312" w:cs="仿宋_GB2312" w:hint="eastAsia"/>
          <w:sz w:val="28"/>
          <w:szCs w:val="28"/>
        </w:rPr>
        <w:t>相关项目暂未达到资金拨付进度要求，</w:t>
      </w:r>
      <w:r w:rsidR="00C419EE" w:rsidRPr="00C419EE">
        <w:rPr>
          <w:rFonts w:ascii="仿宋_GB2312" w:eastAsia="仿宋_GB2312" w:hAnsi="仿宋_GB2312" w:cs="仿宋_GB2312" w:hint="eastAsia"/>
          <w:sz w:val="28"/>
          <w:szCs w:val="28"/>
        </w:rPr>
        <w:t>大中型水库移民后期扶持基金</w:t>
      </w:r>
      <w:r w:rsidR="00C419EE">
        <w:rPr>
          <w:rFonts w:ascii="仿宋_GB2312" w:eastAsia="仿宋_GB2312" w:hAnsi="仿宋_GB2312" w:cs="仿宋_GB2312" w:hint="eastAsia"/>
          <w:sz w:val="28"/>
          <w:szCs w:val="28"/>
        </w:rPr>
        <w:t>年终结余155万元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尚</w:t>
      </w:r>
      <w:r w:rsidR="00C419EE">
        <w:rPr>
          <w:rFonts w:ascii="仿宋_GB2312" w:eastAsia="仿宋_GB2312" w:hAnsi="仿宋_GB2312" w:cs="仿宋_GB2312" w:hint="eastAsia"/>
          <w:sz w:val="28"/>
          <w:szCs w:val="28"/>
        </w:rPr>
        <w:t>未拨付</w:t>
      </w:r>
    </w:p>
    <w:p w:rsidR="00833AEF" w:rsidRDefault="00EC00E3" w:rsidP="00C31D08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3.小型水库移民扶助基金相关支出执行数为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万元，同比下降</w:t>
      </w:r>
      <w:r w:rsidR="007C054C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%，主要是自 2019 年9月1日起，我省暂停征收小型水库移民扶助基金，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故未安排</w:t>
      </w:r>
      <w:r>
        <w:rPr>
          <w:rFonts w:ascii="仿宋_GB2312" w:eastAsia="仿宋_GB2312" w:hAnsi="仿宋_GB2312" w:cs="仿宋_GB2312" w:hint="eastAsia"/>
          <w:sz w:val="28"/>
          <w:szCs w:val="28"/>
        </w:rPr>
        <w:t>对应支出。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三、城乡社区支出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国有土地使用权出让收入及对应专项债务收入安排的支出执行数为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172147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增长736.1%</w:t>
      </w:r>
      <w:r>
        <w:rPr>
          <w:rFonts w:ascii="仿宋_GB2312" w:eastAsia="仿宋_GB2312" w:hAnsi="仿宋_GB2312" w:cs="仿宋_GB2312" w:hint="eastAsia"/>
          <w:sz w:val="28"/>
          <w:szCs w:val="28"/>
        </w:rPr>
        <w:t>,主要是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上年基数小，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2022年我市两江四岸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征地和</w:t>
      </w:r>
      <w:r w:rsidR="00CC10EF">
        <w:rPr>
          <w:rFonts w:ascii="仿宋_GB2312" w:eastAsia="仿宋_GB2312" w:hAnsi="仿宋_GB2312" w:cs="仿宋_GB2312" w:hint="eastAsia"/>
          <w:sz w:val="28"/>
          <w:szCs w:val="28"/>
        </w:rPr>
        <w:t>拆迁补偿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支出以及城市更新改造支出增加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，另外根据江西省财政厅和农业农村厅共同印发的《关于提高土地出让收入用于农业农村比例的考核办法》（赣农办字[2022]6号）规定，2022年我市土地出让收入用于农业农村的比例不得低于5.5%</w:t>
      </w:r>
      <w:r w:rsidR="00956615">
        <w:rPr>
          <w:rFonts w:ascii="仿宋_GB2312" w:eastAsia="仿宋_GB2312" w:hAnsi="仿宋_GB2312" w:cs="仿宋_GB2312" w:hint="eastAsia"/>
          <w:sz w:val="28"/>
          <w:szCs w:val="28"/>
        </w:rPr>
        <w:t>，以前年度</w:t>
      </w:r>
      <w:r w:rsidR="00956615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未做此要求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6A4F3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 w:rsidR="006A4F37" w:rsidRPr="006A4F37">
        <w:rPr>
          <w:rFonts w:hint="eastAsia"/>
        </w:rPr>
        <w:t xml:space="preserve"> </w:t>
      </w:r>
      <w:r w:rsidR="006A4F37" w:rsidRPr="006A4F37">
        <w:rPr>
          <w:rFonts w:ascii="仿宋_GB2312" w:eastAsia="仿宋_GB2312" w:hAnsi="仿宋_GB2312" w:cs="仿宋_GB2312" w:hint="eastAsia"/>
          <w:sz w:val="28"/>
          <w:szCs w:val="28"/>
        </w:rPr>
        <w:t>国有土地收益基金安排的支出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222万元，</w:t>
      </w:r>
      <w:r>
        <w:rPr>
          <w:rFonts w:ascii="仿宋_GB2312" w:eastAsia="仿宋_GB2312" w:hAnsi="仿宋_GB2312" w:cs="仿宋_GB2312" w:hint="eastAsia"/>
          <w:sz w:val="28"/>
          <w:szCs w:val="28"/>
        </w:rPr>
        <w:t>农业土地开发资金安排的支出执行数为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分别下降96.5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6A4F37">
        <w:rPr>
          <w:rFonts w:ascii="仿宋_GB2312" w:eastAsia="仿宋_GB2312" w:hAnsi="仿宋_GB2312" w:cs="仿宋_GB2312" w:hint="eastAsia"/>
          <w:sz w:val="28"/>
          <w:szCs w:val="28"/>
        </w:rPr>
        <w:t>和100%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A4F37" w:rsidRPr="006A4F37">
        <w:rPr>
          <w:rFonts w:ascii="仿宋_GB2312" w:eastAsia="仿宋_GB2312" w:hAnsi="仿宋_GB2312" w:cs="仿宋_GB2312" w:hint="eastAsia"/>
          <w:sz w:val="28"/>
          <w:szCs w:val="28"/>
        </w:rPr>
        <w:t>主要是2022年1月份开始由税务局代收国有土地相关收入，税务局代收系统设置里面没有1030146 国有土地收益基金收入和1030147农业土地开发资金收入这两个科目，导致缴库时税局均入库1030148国有土地使用权出让收入科目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后期才将1030146和1030147这两个科目添加到系统中，故安排的</w:t>
      </w:r>
      <w:r>
        <w:rPr>
          <w:rFonts w:ascii="仿宋_GB2312" w:eastAsia="仿宋_GB2312" w:hAnsi="仿宋_GB2312" w:cs="仿宋_GB2312" w:hint="eastAsia"/>
          <w:sz w:val="28"/>
          <w:szCs w:val="28"/>
        </w:rPr>
        <w:t>相应支出也同比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3AEF" w:rsidRDefault="00EC00E3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6.城市基础设施配套费安排的支出执行数为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956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下降51.7</w:t>
      </w:r>
      <w:r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 w:rsidR="00D8113C">
        <w:rPr>
          <w:rFonts w:ascii="仿宋_GB2312" w:eastAsia="仿宋_GB2312" w:hAnsi="仿宋_GB2312" w:cs="仿宋_GB2312" w:hint="eastAsia"/>
          <w:sz w:val="28"/>
          <w:szCs w:val="28"/>
        </w:rPr>
        <w:t>2022年城市基础设施配套费收入减少，相应的支出安排也减少。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四、其他支出</w:t>
      </w:r>
    </w:p>
    <w:p w:rsidR="00833AEF" w:rsidRDefault="00956615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. 其他政府性基金及对应专项债务收入安排的支出执行数为</w:t>
      </w:r>
      <w:r>
        <w:rPr>
          <w:rFonts w:ascii="仿宋_GB2312" w:eastAsia="仿宋_GB2312" w:hAnsi="仿宋_GB2312" w:cs="仿宋_GB2312" w:hint="eastAsia"/>
          <w:sz w:val="28"/>
          <w:szCs w:val="28"/>
        </w:rPr>
        <w:t>145287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万元，同比增长</w:t>
      </w:r>
      <w:r>
        <w:rPr>
          <w:rFonts w:ascii="仿宋_GB2312" w:eastAsia="仿宋_GB2312" w:hAnsi="仿宋_GB2312" w:cs="仿宋_GB2312" w:hint="eastAsia"/>
          <w:sz w:val="28"/>
          <w:szCs w:val="28"/>
        </w:rPr>
        <w:t>26.2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年收到自行收益专项债券收入增加，相应安排的支出也增加。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五、债务付息支出</w:t>
      </w:r>
    </w:p>
    <w:p w:rsidR="00833AEF" w:rsidRDefault="00956615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. 地方政府专项债务付息支出执行数为</w:t>
      </w:r>
      <w:r>
        <w:rPr>
          <w:rFonts w:ascii="仿宋_GB2312" w:eastAsia="仿宋_GB2312" w:hAnsi="仿宋_GB2312" w:cs="仿宋_GB2312" w:hint="eastAsia"/>
          <w:sz w:val="28"/>
          <w:szCs w:val="28"/>
        </w:rPr>
        <w:t>15498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万元，同比增长</w:t>
      </w:r>
      <w:r>
        <w:rPr>
          <w:rFonts w:ascii="仿宋_GB2312" w:eastAsia="仿宋_GB2312" w:hAnsi="仿宋_GB2312" w:cs="仿宋_GB2312" w:hint="eastAsia"/>
          <w:sz w:val="28"/>
          <w:szCs w:val="28"/>
        </w:rPr>
        <w:t>64.6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>
        <w:rPr>
          <w:rFonts w:ascii="仿宋_GB2312" w:eastAsia="仿宋_GB2312" w:hAnsi="仿宋_GB2312" w:cs="仿宋_GB2312" w:hint="eastAsia"/>
          <w:sz w:val="28"/>
          <w:szCs w:val="28"/>
        </w:rPr>
        <w:t>随着专项债发行规模的不断扩大，2022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年我市正处于债券还本付息高峰期，付息支出较大。</w:t>
      </w:r>
    </w:p>
    <w:p w:rsidR="00833AEF" w:rsidRDefault="00EC00E3" w:rsidP="00C31D08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六、债务发行费用支出</w:t>
      </w:r>
    </w:p>
    <w:p w:rsidR="00833AEF" w:rsidRDefault="00956615" w:rsidP="00C31D0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.地方政府专项债务发行费用执行数为</w:t>
      </w:r>
      <w:r>
        <w:rPr>
          <w:rFonts w:ascii="仿宋_GB2312" w:eastAsia="仿宋_GB2312" w:hAnsi="仿宋_GB2312" w:cs="仿宋_GB2312" w:hint="eastAsia"/>
          <w:sz w:val="28"/>
          <w:szCs w:val="28"/>
        </w:rPr>
        <w:t>124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万元，同比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下降37.7</w:t>
      </w:r>
      <w:r w:rsidR="00EC00E3">
        <w:rPr>
          <w:rFonts w:ascii="仿宋_GB2312" w:eastAsia="仿宋_GB2312" w:hAnsi="仿宋_GB2312" w:cs="仿宋_GB2312" w:hint="eastAsia"/>
          <w:sz w:val="28"/>
          <w:szCs w:val="28"/>
        </w:rPr>
        <w:t>%，主要是</w:t>
      </w:r>
      <w:r>
        <w:rPr>
          <w:rFonts w:ascii="仿宋_GB2312" w:eastAsia="仿宋_GB2312" w:hAnsi="仿宋_GB2312" w:cs="仿宋_GB2312" w:hint="eastAsia"/>
          <w:sz w:val="28"/>
          <w:szCs w:val="28"/>
        </w:rPr>
        <w:t>2022年专项债发行费率有所下降，发行费支出相应减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少。</w:t>
      </w:r>
    </w:p>
    <w:p w:rsidR="00833AEF" w:rsidRDefault="00833AEF" w:rsidP="00833AEF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833AEF" w:rsidSect="00833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9C4" w:rsidRDefault="009D49C4" w:rsidP="00C31D08">
      <w:r>
        <w:separator/>
      </w:r>
    </w:p>
  </w:endnote>
  <w:endnote w:type="continuationSeparator" w:id="1">
    <w:p w:rsidR="009D49C4" w:rsidRDefault="009D49C4" w:rsidP="00C3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9C4" w:rsidRDefault="009D49C4" w:rsidP="00C31D08">
      <w:r>
        <w:separator/>
      </w:r>
    </w:p>
  </w:footnote>
  <w:footnote w:type="continuationSeparator" w:id="1">
    <w:p w:rsidR="009D49C4" w:rsidRDefault="009D49C4" w:rsidP="00C31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2617"/>
    <w:rsid w:val="00045132"/>
    <w:rsid w:val="00191F99"/>
    <w:rsid w:val="00194D70"/>
    <w:rsid w:val="001F622E"/>
    <w:rsid w:val="0027230A"/>
    <w:rsid w:val="002A14A3"/>
    <w:rsid w:val="003079D7"/>
    <w:rsid w:val="00507EC1"/>
    <w:rsid w:val="00532617"/>
    <w:rsid w:val="00572EC4"/>
    <w:rsid w:val="005C13AE"/>
    <w:rsid w:val="005F45FC"/>
    <w:rsid w:val="006263CB"/>
    <w:rsid w:val="006439B1"/>
    <w:rsid w:val="006A4F37"/>
    <w:rsid w:val="006A7FA3"/>
    <w:rsid w:val="006B3F57"/>
    <w:rsid w:val="00733742"/>
    <w:rsid w:val="007B4679"/>
    <w:rsid w:val="007C054C"/>
    <w:rsid w:val="00833AEF"/>
    <w:rsid w:val="008743A9"/>
    <w:rsid w:val="008A0C1C"/>
    <w:rsid w:val="008A3074"/>
    <w:rsid w:val="008D330B"/>
    <w:rsid w:val="008F091B"/>
    <w:rsid w:val="009531B2"/>
    <w:rsid w:val="00956615"/>
    <w:rsid w:val="009B09A7"/>
    <w:rsid w:val="009D3288"/>
    <w:rsid w:val="009D49C4"/>
    <w:rsid w:val="00A62325"/>
    <w:rsid w:val="00A73114"/>
    <w:rsid w:val="00A74EBA"/>
    <w:rsid w:val="00AA41B9"/>
    <w:rsid w:val="00AF7D28"/>
    <w:rsid w:val="00B402A4"/>
    <w:rsid w:val="00B97A41"/>
    <w:rsid w:val="00C11A36"/>
    <w:rsid w:val="00C204FC"/>
    <w:rsid w:val="00C21A1C"/>
    <w:rsid w:val="00C31D08"/>
    <w:rsid w:val="00C419EE"/>
    <w:rsid w:val="00CA1218"/>
    <w:rsid w:val="00CC10EF"/>
    <w:rsid w:val="00CE3638"/>
    <w:rsid w:val="00D237D2"/>
    <w:rsid w:val="00D3401A"/>
    <w:rsid w:val="00D45EF1"/>
    <w:rsid w:val="00D5353B"/>
    <w:rsid w:val="00D8113C"/>
    <w:rsid w:val="00E46F2C"/>
    <w:rsid w:val="00EC00E3"/>
    <w:rsid w:val="00F633A5"/>
    <w:rsid w:val="00FF2447"/>
    <w:rsid w:val="02E710DB"/>
    <w:rsid w:val="084F0D9A"/>
    <w:rsid w:val="0B3453F8"/>
    <w:rsid w:val="0C905124"/>
    <w:rsid w:val="2543209A"/>
    <w:rsid w:val="25DA0EB5"/>
    <w:rsid w:val="29785E87"/>
    <w:rsid w:val="3B9851B2"/>
    <w:rsid w:val="5B970D4A"/>
    <w:rsid w:val="5E811696"/>
    <w:rsid w:val="649E2C3A"/>
    <w:rsid w:val="68426A80"/>
    <w:rsid w:val="7BA1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33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3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3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33A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33A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33AE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33A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26</cp:revision>
  <dcterms:created xsi:type="dcterms:W3CDTF">2018-05-16T02:11:00Z</dcterms:created>
  <dcterms:modified xsi:type="dcterms:W3CDTF">2023-09-18T09:01:00Z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3C3243F604C442118DF9091A74108EE9</vt:lpwstr>
  </property>
</Properties>
</file>