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0A" w:rsidRDefault="00293B0A" w:rsidP="00293B0A">
      <w:pPr>
        <w:jc w:val="center"/>
        <w:rPr>
          <w:b/>
          <w:bCs/>
          <w:sz w:val="36"/>
          <w:szCs w:val="36"/>
        </w:rPr>
      </w:pPr>
      <w:r>
        <w:rPr>
          <w:rFonts w:hint="eastAsia"/>
          <w:b/>
          <w:bCs/>
          <w:sz w:val="36"/>
          <w:szCs w:val="36"/>
        </w:rPr>
        <w:t>龙南市</w:t>
      </w:r>
      <w:r>
        <w:rPr>
          <w:rFonts w:hint="eastAsia"/>
          <w:b/>
          <w:bCs/>
          <w:sz w:val="36"/>
          <w:szCs w:val="36"/>
        </w:rPr>
        <w:t>2022</w:t>
      </w:r>
      <w:r>
        <w:rPr>
          <w:rFonts w:hint="eastAsia"/>
          <w:b/>
          <w:bCs/>
          <w:sz w:val="36"/>
          <w:szCs w:val="36"/>
        </w:rPr>
        <w:t>年度重大政策和重点项目绩效执行情况</w:t>
      </w:r>
    </w:p>
    <w:p w:rsidR="00D64699" w:rsidRDefault="00D64699" w:rsidP="00D64699">
      <w:pPr>
        <w:spacing w:line="560" w:lineRule="exact"/>
        <w:ind w:firstLineChars="200" w:firstLine="640"/>
        <w:rPr>
          <w:rFonts w:asciiTheme="majorEastAsia" w:eastAsiaTheme="majorEastAsia" w:hAnsiTheme="majorEastAsia"/>
          <w:sz w:val="32"/>
          <w:szCs w:val="32"/>
        </w:rPr>
      </w:pPr>
    </w:p>
    <w:p w:rsidR="00D64699" w:rsidRPr="003034CA" w:rsidRDefault="00D64699" w:rsidP="003034CA">
      <w:pPr>
        <w:spacing w:line="560" w:lineRule="exact"/>
        <w:ind w:firstLineChars="200" w:firstLine="600"/>
        <w:rPr>
          <w:rFonts w:ascii="仿宋" w:eastAsia="仿宋" w:hAnsi="仿宋" w:cs="FangSong_GB2312"/>
          <w:color w:val="000000"/>
          <w:kern w:val="0"/>
          <w:sz w:val="30"/>
          <w:szCs w:val="30"/>
        </w:rPr>
      </w:pPr>
      <w:r w:rsidRPr="003034CA">
        <w:rPr>
          <w:rFonts w:ascii="仿宋" w:eastAsia="仿宋" w:hAnsi="仿宋" w:hint="eastAsia"/>
          <w:sz w:val="30"/>
          <w:szCs w:val="30"/>
        </w:rPr>
        <w:t>为贯彻落实</w:t>
      </w:r>
      <w:r w:rsidRPr="003034CA">
        <w:rPr>
          <w:rFonts w:ascii="仿宋" w:eastAsia="仿宋" w:hAnsi="仿宋" w:cs="FangSong_GB2312" w:hint="eastAsia"/>
          <w:color w:val="000000"/>
          <w:kern w:val="0"/>
          <w:sz w:val="30"/>
          <w:szCs w:val="30"/>
        </w:rPr>
        <w:t>《中共龙南县委 龙南县人民政府关于全面实施预算绩效管理的实施意见》（龙发〔2020〕9 号）精神，着力提高财政资金使用效益和项目（政府）实施效果，按照“突出重点热点、回应社会关切”思路，我局选取了2022年部分具有代表性的重点项目开展财政绩效评价（监控）。现将有关情况报告如下：</w:t>
      </w:r>
    </w:p>
    <w:p w:rsidR="00D64699" w:rsidRPr="003034CA" w:rsidRDefault="00D64699" w:rsidP="00D64699">
      <w:pPr>
        <w:spacing w:line="560" w:lineRule="exact"/>
        <w:ind w:firstLine="540"/>
        <w:rPr>
          <w:rFonts w:ascii="仿宋" w:eastAsia="仿宋" w:hAnsi="仿宋" w:cs="FangSong_GB2312"/>
          <w:b/>
          <w:color w:val="000000"/>
          <w:kern w:val="0"/>
          <w:sz w:val="30"/>
          <w:szCs w:val="30"/>
        </w:rPr>
      </w:pPr>
      <w:r w:rsidRPr="003034CA">
        <w:rPr>
          <w:rFonts w:ascii="仿宋" w:eastAsia="仿宋" w:hAnsi="仿宋" w:cs="FangSong_GB2312" w:hint="eastAsia"/>
          <w:b/>
          <w:color w:val="000000"/>
          <w:kern w:val="0"/>
          <w:sz w:val="30"/>
          <w:szCs w:val="30"/>
        </w:rPr>
        <w:t>一、评价项目基本情况</w:t>
      </w:r>
    </w:p>
    <w:p w:rsidR="00873D9E" w:rsidRPr="003034CA" w:rsidRDefault="00D64699" w:rsidP="00873D9E">
      <w:pPr>
        <w:spacing w:line="560" w:lineRule="exact"/>
        <w:ind w:firstLine="540"/>
        <w:rPr>
          <w:rFonts w:ascii="仿宋" w:eastAsia="仿宋" w:hAnsi="仿宋" w:cs="仿宋"/>
          <w:sz w:val="30"/>
          <w:szCs w:val="30"/>
        </w:rPr>
      </w:pPr>
      <w:r w:rsidRPr="003034CA">
        <w:rPr>
          <w:rFonts w:ascii="仿宋" w:eastAsia="仿宋" w:hAnsi="仿宋" w:hint="eastAsia"/>
          <w:sz w:val="30"/>
          <w:szCs w:val="30"/>
        </w:rPr>
        <w:t>我局委托第三方机构对10个项目实施了财政重点绩效评价，</w:t>
      </w:r>
      <w:r w:rsidR="00873D9E" w:rsidRPr="003034CA">
        <w:rPr>
          <w:rFonts w:ascii="仿宋" w:eastAsia="仿宋" w:hAnsi="仿宋" w:cs="仿宋" w:hint="eastAsia"/>
          <w:sz w:val="30"/>
          <w:szCs w:val="30"/>
        </w:rPr>
        <w:t>具体被评价单位名称及被评价内容如下表：</w:t>
      </w:r>
    </w:p>
    <w:p w:rsidR="00873D9E" w:rsidRPr="003034CA" w:rsidRDefault="00873D9E" w:rsidP="003034CA">
      <w:pPr>
        <w:ind w:firstLineChars="200" w:firstLine="602"/>
        <w:jc w:val="center"/>
        <w:rPr>
          <w:rFonts w:ascii="仿宋" w:eastAsia="仿宋" w:hAnsi="仿宋" w:cs="仿宋"/>
          <w:b/>
          <w:sz w:val="30"/>
          <w:szCs w:val="30"/>
        </w:rPr>
      </w:pPr>
      <w:r w:rsidRPr="003034CA">
        <w:rPr>
          <w:rFonts w:ascii="仿宋" w:eastAsia="仿宋" w:hAnsi="仿宋" w:cs="仿宋" w:hint="eastAsia"/>
          <w:b/>
          <w:bCs/>
          <w:sz w:val="30"/>
          <w:szCs w:val="30"/>
        </w:rPr>
        <w:t>附表：项目一览表</w:t>
      </w:r>
    </w:p>
    <w:tbl>
      <w:tblPr>
        <w:tblW w:w="8426" w:type="dxa"/>
        <w:tblInd w:w="96" w:type="dxa"/>
        <w:tblLayout w:type="fixed"/>
        <w:tblLook w:val="04A0"/>
      </w:tblPr>
      <w:tblGrid>
        <w:gridCol w:w="706"/>
        <w:gridCol w:w="4403"/>
        <w:gridCol w:w="3317"/>
      </w:tblGrid>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bCs/>
                <w:color w:val="000000"/>
                <w:kern w:val="0"/>
                <w:sz w:val="30"/>
                <w:szCs w:val="30"/>
                <w:lang/>
              </w:rPr>
              <w:t>序号</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项目名称</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实施单位</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1</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2022年关于更新购置市公车中心部分车辆项目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龙南市机关事务管理中心</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龙南市2021-2022年受污染耕地安全利用及严格管控项目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龙南市农业农村局</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3</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龙开办批【2022】99号--龙南化工园区视频系统</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龙南市公安局</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4</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龙南市客家文化城建设项目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龙南市城市投资控股集团有限公司</w:t>
            </w:r>
          </w:p>
        </w:tc>
      </w:tr>
      <w:tr w:rsidR="00873D9E" w:rsidRPr="003034CA" w:rsidTr="00616EC1">
        <w:trPr>
          <w:trHeight w:val="632"/>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5</w:t>
            </w:r>
          </w:p>
        </w:tc>
        <w:tc>
          <w:tcPr>
            <w:tcW w:w="4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2021-2022年度松林改造生态修</w:t>
            </w:r>
            <w:r w:rsidRPr="003034CA">
              <w:rPr>
                <w:rFonts w:ascii="仿宋" w:eastAsia="仿宋" w:hAnsi="仿宋" w:cs="宋体" w:hint="eastAsia"/>
                <w:color w:val="000000"/>
                <w:kern w:val="0"/>
                <w:sz w:val="30"/>
                <w:szCs w:val="30"/>
                <w:lang/>
              </w:rPr>
              <w:lastRenderedPageBreak/>
              <w:t>复(龙南市赣江源森林质量提升一碳汇林建设) 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lastRenderedPageBreak/>
              <w:t>龙南市桃江乡人民政府</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lastRenderedPageBreak/>
              <w:t>6</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龙南精细化工集中区标准厂房及基础设施建设项目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龙南建设投资控股集团有限责任公司</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7</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2022年东江党群服务专项经费项目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龙南经济技术开发区管理委员会</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龙南市2021-2022年中央水库移民扶持基金项目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龙南市水利局</w:t>
            </w:r>
          </w:p>
        </w:tc>
      </w:tr>
      <w:tr w:rsidR="00873D9E" w:rsidRPr="003034CA" w:rsidTr="00616EC1">
        <w:trPr>
          <w:trHeight w:val="32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9</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2022年争资争项前期包装经费</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龙南市发展和改革委员会</w:t>
            </w:r>
          </w:p>
        </w:tc>
      </w:tr>
      <w:tr w:rsidR="00873D9E" w:rsidRPr="003034CA" w:rsidTr="00616EC1">
        <w:trPr>
          <w:trHeight w:val="331"/>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10</w:t>
            </w:r>
          </w:p>
        </w:tc>
        <w:tc>
          <w:tcPr>
            <w:tcW w:w="4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2021-2022年生态效益补偿资金项目</w:t>
            </w:r>
          </w:p>
        </w:tc>
        <w:tc>
          <w:tcPr>
            <w:tcW w:w="3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龙南市林业局</w:t>
            </w:r>
          </w:p>
        </w:tc>
      </w:tr>
    </w:tbl>
    <w:p w:rsidR="00873D9E" w:rsidRPr="003034CA" w:rsidRDefault="00873D9E" w:rsidP="003034CA">
      <w:pPr>
        <w:ind w:firstLineChars="200" w:firstLine="600"/>
        <w:rPr>
          <w:rFonts w:ascii="仿宋" w:eastAsia="仿宋" w:hAnsi="仿宋" w:cs="仿宋"/>
          <w:sz w:val="30"/>
          <w:szCs w:val="30"/>
        </w:rPr>
      </w:pPr>
      <w:r w:rsidRPr="003034CA">
        <w:rPr>
          <w:rFonts w:ascii="仿宋" w:eastAsia="仿宋" w:hAnsi="仿宋" w:cs="仿宋" w:hint="eastAsia"/>
          <w:sz w:val="30"/>
          <w:szCs w:val="30"/>
        </w:rPr>
        <w:t>本次绩效评价结果采取评分和评级相结合的方式，总分为100分，根据最终得分情况，将绩效评价结果划分为四档：90（含）-100分为优、80（含）-90分为良、60（含）-80分为中、60分以下为差。具体得分及评价等级如下表（分数由高至低排序）：</w:t>
      </w:r>
    </w:p>
    <w:p w:rsidR="00873D9E" w:rsidRPr="003034CA" w:rsidRDefault="00873D9E" w:rsidP="003034CA">
      <w:pPr>
        <w:ind w:firstLineChars="200" w:firstLine="602"/>
        <w:jc w:val="center"/>
        <w:rPr>
          <w:rFonts w:ascii="仿宋" w:eastAsia="仿宋" w:hAnsi="仿宋" w:cs="仿宋"/>
          <w:b/>
          <w:sz w:val="30"/>
          <w:szCs w:val="30"/>
        </w:rPr>
      </w:pPr>
      <w:r w:rsidRPr="003034CA">
        <w:rPr>
          <w:rFonts w:ascii="仿宋" w:eastAsia="仿宋" w:hAnsi="仿宋" w:cs="仿宋" w:hint="eastAsia"/>
          <w:b/>
          <w:bCs/>
          <w:sz w:val="30"/>
          <w:szCs w:val="30"/>
        </w:rPr>
        <w:t>附表：</w:t>
      </w:r>
      <w:r w:rsidRPr="003034CA">
        <w:rPr>
          <w:rFonts w:ascii="仿宋" w:eastAsia="仿宋" w:hAnsi="仿宋" w:cs="仿宋"/>
          <w:b/>
          <w:bCs/>
          <w:sz w:val="30"/>
          <w:szCs w:val="30"/>
        </w:rPr>
        <w:t>项目评分一览表</w:t>
      </w:r>
    </w:p>
    <w:tbl>
      <w:tblPr>
        <w:tblW w:w="8327" w:type="dxa"/>
        <w:tblInd w:w="96" w:type="dxa"/>
        <w:tblLayout w:type="fixed"/>
        <w:tblLook w:val="04A0"/>
      </w:tblPr>
      <w:tblGrid>
        <w:gridCol w:w="604"/>
        <w:gridCol w:w="3588"/>
        <w:gridCol w:w="2812"/>
        <w:gridCol w:w="740"/>
        <w:gridCol w:w="583"/>
      </w:tblGrid>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序号</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项目名称</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实施单位</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评分</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bCs/>
                <w:color w:val="000000"/>
                <w:sz w:val="30"/>
                <w:szCs w:val="30"/>
              </w:rPr>
            </w:pPr>
            <w:r w:rsidRPr="003034CA">
              <w:rPr>
                <w:rFonts w:ascii="仿宋" w:eastAsia="仿宋" w:hAnsi="仿宋" w:cs="宋体" w:hint="eastAsia"/>
                <w:bCs/>
                <w:color w:val="000000"/>
                <w:kern w:val="0"/>
                <w:sz w:val="30"/>
                <w:szCs w:val="30"/>
                <w:lang/>
              </w:rPr>
              <w:t>等级</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1</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2022年关于更新购置市公车中心部分车辆项目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龙南市机关事务管理中心</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88.11</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龙南市2021-2022年受污</w:t>
            </w:r>
            <w:r w:rsidRPr="003034CA">
              <w:rPr>
                <w:rFonts w:ascii="仿宋" w:eastAsia="仿宋" w:hAnsi="仿宋" w:cs="宋体" w:hint="eastAsia"/>
                <w:color w:val="000000"/>
                <w:kern w:val="0"/>
                <w:sz w:val="30"/>
                <w:szCs w:val="30"/>
                <w:lang/>
              </w:rPr>
              <w:lastRenderedPageBreak/>
              <w:t>染耕地安全利用及严格管控项目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lastRenderedPageBreak/>
              <w:t>龙南市农业农村局</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86.</w:t>
            </w:r>
            <w:r w:rsidRPr="003034CA">
              <w:rPr>
                <w:rFonts w:ascii="仿宋" w:eastAsia="仿宋" w:hAnsi="仿宋" w:cs="宋体" w:hint="eastAsia"/>
                <w:color w:val="000000"/>
                <w:kern w:val="0"/>
                <w:sz w:val="30"/>
                <w:szCs w:val="30"/>
                <w:lang/>
              </w:rPr>
              <w:lastRenderedPageBreak/>
              <w:t>9</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lastRenderedPageBreak/>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lastRenderedPageBreak/>
              <w:t>3</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龙开办批【2022】99号--龙南化工园区视频系统</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龙南市公安局</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85</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4</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龙南市客家文化城建设项目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龙南市城市投资控股集团有限公司</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85.89</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64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5</w:t>
            </w: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2021-2022年度松林改造生态修复(龙南市赣江源森林质量提升一碳汇林建设) 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龙南市桃江乡人民政府</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84.35</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6</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龙南精细化工集中区标准厂房及基础设施建设项目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龙南建设投资控股集团有限责任公司</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84</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7</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2022年东江党群服务专项经费项目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龙南经济技术开发区管理委员会</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82.69</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龙南市2021-2022年中央水库移民扶持基金项目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龙南市水利局</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81.78</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9</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2022年争资争项前期包装经费</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龙南市发展和改革委员会</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81.01</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良</w:t>
            </w:r>
          </w:p>
        </w:tc>
      </w:tr>
      <w:tr w:rsidR="00873D9E" w:rsidRPr="003034CA" w:rsidTr="00616EC1">
        <w:trPr>
          <w:trHeight w:val="288"/>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10</w:t>
            </w:r>
          </w:p>
        </w:tc>
        <w:tc>
          <w:tcPr>
            <w:tcW w:w="3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2021-2022年生态效益补偿资金项目</w:t>
            </w:r>
          </w:p>
        </w:tc>
        <w:tc>
          <w:tcPr>
            <w:tcW w:w="2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left"/>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龙南市林业局</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77.97</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3D9E" w:rsidRPr="003034CA" w:rsidRDefault="00873D9E" w:rsidP="00616EC1">
            <w:pPr>
              <w:widowControl/>
              <w:jc w:val="center"/>
              <w:textAlignment w:val="center"/>
              <w:rPr>
                <w:rFonts w:ascii="仿宋" w:eastAsia="仿宋" w:hAnsi="仿宋" w:cs="宋体"/>
                <w:color w:val="000000"/>
                <w:sz w:val="30"/>
                <w:szCs w:val="30"/>
              </w:rPr>
            </w:pPr>
            <w:r w:rsidRPr="003034CA">
              <w:rPr>
                <w:rFonts w:ascii="仿宋" w:eastAsia="仿宋" w:hAnsi="仿宋" w:cs="宋体" w:hint="eastAsia"/>
                <w:color w:val="000000"/>
                <w:kern w:val="0"/>
                <w:sz w:val="30"/>
                <w:szCs w:val="30"/>
                <w:lang/>
              </w:rPr>
              <w:t>中</w:t>
            </w:r>
          </w:p>
        </w:tc>
      </w:tr>
    </w:tbl>
    <w:p w:rsidR="00293B0A" w:rsidRPr="003034CA" w:rsidRDefault="00D64699" w:rsidP="00D64699">
      <w:pPr>
        <w:spacing w:line="560" w:lineRule="exact"/>
        <w:ind w:firstLine="540"/>
        <w:rPr>
          <w:rFonts w:ascii="仿宋" w:eastAsia="仿宋" w:hAnsi="仿宋" w:cs="宋体"/>
          <w:b/>
          <w:color w:val="000000"/>
          <w:kern w:val="0"/>
          <w:sz w:val="30"/>
          <w:szCs w:val="30"/>
        </w:rPr>
      </w:pPr>
      <w:r w:rsidRPr="003034CA">
        <w:rPr>
          <w:rFonts w:ascii="仿宋" w:eastAsia="仿宋" w:hAnsi="仿宋" w:hint="eastAsia"/>
          <w:b/>
          <w:sz w:val="30"/>
          <w:szCs w:val="30"/>
        </w:rPr>
        <w:t>二、评价结果</w:t>
      </w:r>
    </w:p>
    <w:p w:rsidR="00293B0A" w:rsidRPr="003034CA" w:rsidRDefault="00293B0A" w:rsidP="003034CA">
      <w:pPr>
        <w:spacing w:line="560" w:lineRule="exact"/>
        <w:ind w:firstLineChars="200" w:firstLine="600"/>
        <w:rPr>
          <w:rFonts w:ascii="仿宋" w:eastAsia="仿宋" w:hAnsi="仿宋" w:cs="黑体"/>
          <w:sz w:val="30"/>
          <w:szCs w:val="30"/>
        </w:rPr>
      </w:pPr>
      <w:r w:rsidRPr="003034CA">
        <w:rPr>
          <w:rFonts w:ascii="仿宋" w:eastAsia="仿宋" w:hAnsi="仿宋" w:cs="黑体" w:hint="eastAsia"/>
          <w:sz w:val="30"/>
          <w:szCs w:val="30"/>
        </w:rPr>
        <w:t>存在的问题及相关建议</w:t>
      </w:r>
    </w:p>
    <w:p w:rsidR="00293B0A" w:rsidRPr="003034CA" w:rsidRDefault="00293B0A" w:rsidP="003034CA">
      <w:pPr>
        <w:spacing w:line="560" w:lineRule="exact"/>
        <w:ind w:firstLineChars="200" w:firstLine="600"/>
        <w:rPr>
          <w:rFonts w:ascii="仿宋" w:eastAsia="仿宋" w:hAnsi="仿宋" w:cs="楷体"/>
          <w:sz w:val="30"/>
          <w:szCs w:val="30"/>
        </w:rPr>
      </w:pPr>
      <w:r w:rsidRPr="003034CA">
        <w:rPr>
          <w:rFonts w:ascii="仿宋" w:eastAsia="仿宋" w:hAnsi="仿宋" w:cs="楷体" w:hint="eastAsia"/>
          <w:sz w:val="30"/>
          <w:szCs w:val="30"/>
        </w:rPr>
        <w:t>（一）决策能力有待提高、履职目标不够清晰明确</w:t>
      </w:r>
    </w:p>
    <w:p w:rsidR="00293B0A" w:rsidRPr="003034CA" w:rsidRDefault="00293B0A" w:rsidP="003034CA">
      <w:pPr>
        <w:spacing w:line="560" w:lineRule="exact"/>
        <w:ind w:firstLineChars="200" w:firstLine="600"/>
        <w:rPr>
          <w:rFonts w:ascii="仿宋" w:eastAsia="仿宋" w:hAnsi="仿宋" w:cs="仿宋"/>
          <w:color w:val="000000"/>
          <w:sz w:val="30"/>
          <w:szCs w:val="30"/>
        </w:rPr>
      </w:pPr>
      <w:r w:rsidRPr="003034CA">
        <w:rPr>
          <w:rFonts w:ascii="仿宋" w:eastAsia="仿宋" w:hAnsi="仿宋" w:cs="仿宋" w:hint="eastAsia"/>
          <w:color w:val="000000"/>
          <w:sz w:val="30"/>
          <w:szCs w:val="30"/>
        </w:rPr>
        <w:lastRenderedPageBreak/>
        <w:t>通过对本次龙南市相关部门开展部门整体支出及项目支出绩效评价工作，我们发现大部分单位部门决策工作存在无计划目标或计划目标不清晰明确等情况。</w:t>
      </w:r>
    </w:p>
    <w:p w:rsidR="00293B0A" w:rsidRPr="003034CA" w:rsidRDefault="00293B0A" w:rsidP="003034CA">
      <w:pPr>
        <w:spacing w:line="560" w:lineRule="exact"/>
        <w:ind w:firstLineChars="200" w:firstLine="600"/>
        <w:rPr>
          <w:rFonts w:ascii="仿宋" w:eastAsia="仿宋" w:hAnsi="仿宋" w:cs="仿宋"/>
          <w:color w:val="000000"/>
          <w:sz w:val="30"/>
          <w:szCs w:val="30"/>
        </w:rPr>
      </w:pPr>
      <w:r w:rsidRPr="003034CA">
        <w:rPr>
          <w:rFonts w:ascii="仿宋" w:eastAsia="仿宋" w:hAnsi="仿宋" w:cs="仿宋" w:hint="eastAsia"/>
          <w:color w:val="000000"/>
          <w:sz w:val="30"/>
          <w:szCs w:val="30"/>
        </w:rPr>
        <w:t>凡事预则立，不预则废。有计划，就等于明确了工作的方向和方法，就有了工作的标准的流程。部分单位虽制定了中长期规划及年度工作计划，但规划及计划未对总体目标、规划及计划实施内容及时间安排进行明确的计划安排。中长期规划及年度工作计划并不能完整反映部门部门各项职能的履行情况。</w:t>
      </w:r>
    </w:p>
    <w:p w:rsidR="00293B0A" w:rsidRPr="003034CA" w:rsidRDefault="00293B0A" w:rsidP="003034CA">
      <w:pPr>
        <w:spacing w:line="560" w:lineRule="exact"/>
        <w:ind w:firstLineChars="200" w:firstLine="600"/>
        <w:rPr>
          <w:rFonts w:ascii="仿宋" w:eastAsia="仿宋" w:hAnsi="仿宋" w:cs="仿宋"/>
          <w:color w:val="000000"/>
          <w:sz w:val="30"/>
          <w:szCs w:val="30"/>
        </w:rPr>
      </w:pPr>
      <w:r w:rsidRPr="003034CA">
        <w:rPr>
          <w:rFonts w:ascii="仿宋" w:eastAsia="仿宋" w:hAnsi="仿宋" w:cs="仿宋" w:hint="eastAsia"/>
          <w:color w:val="000000"/>
          <w:sz w:val="30"/>
          <w:szCs w:val="30"/>
        </w:rPr>
        <w:t>缺少完善的规划及工作计划，则导致无法有效的开展绩效管理工作，不能制定完善的绩效目标。从而导致出现部门预算编制无据可依，资金分配不够合理的现象。</w:t>
      </w:r>
    </w:p>
    <w:p w:rsidR="00293B0A" w:rsidRPr="003034CA" w:rsidRDefault="00293B0A" w:rsidP="003034CA">
      <w:pPr>
        <w:spacing w:line="560" w:lineRule="exact"/>
        <w:ind w:firstLineChars="200" w:firstLine="600"/>
        <w:rPr>
          <w:rFonts w:ascii="仿宋" w:eastAsia="仿宋" w:hAnsi="仿宋" w:cs="Times New Roman"/>
          <w:bCs/>
          <w:color w:val="000000"/>
          <w:sz w:val="30"/>
          <w:szCs w:val="30"/>
        </w:rPr>
      </w:pPr>
      <w:r w:rsidRPr="003034CA">
        <w:rPr>
          <w:rFonts w:ascii="仿宋" w:eastAsia="仿宋" w:hAnsi="仿宋" w:cs="Times New Roman" w:hint="eastAsia"/>
          <w:bCs/>
          <w:color w:val="000000"/>
          <w:sz w:val="30"/>
          <w:szCs w:val="30"/>
        </w:rPr>
        <w:t>针对上述问题，相关建议如下：</w:t>
      </w:r>
    </w:p>
    <w:p w:rsidR="00293B0A" w:rsidRPr="003034CA" w:rsidRDefault="00293B0A" w:rsidP="003034CA">
      <w:pPr>
        <w:spacing w:line="560" w:lineRule="exact"/>
        <w:ind w:firstLineChars="200" w:firstLine="600"/>
        <w:rPr>
          <w:rFonts w:ascii="仿宋" w:eastAsia="仿宋" w:hAnsi="仿宋" w:cs="Times New Roman"/>
          <w:color w:val="000000"/>
          <w:sz w:val="30"/>
          <w:szCs w:val="30"/>
        </w:rPr>
      </w:pPr>
      <w:r w:rsidRPr="003034CA">
        <w:rPr>
          <w:rFonts w:ascii="仿宋" w:eastAsia="仿宋" w:hAnsi="仿宋" w:cs="Times New Roman" w:hint="eastAsia"/>
          <w:bCs/>
          <w:color w:val="000000"/>
          <w:sz w:val="30"/>
          <w:szCs w:val="30"/>
        </w:rPr>
        <w:t>一是</w:t>
      </w:r>
      <w:r w:rsidRPr="003034CA">
        <w:rPr>
          <w:rFonts w:ascii="仿宋" w:eastAsia="仿宋" w:hAnsi="仿宋" w:cs="Times New Roman"/>
          <w:bCs/>
          <w:color w:val="000000"/>
          <w:sz w:val="30"/>
          <w:szCs w:val="30"/>
        </w:rPr>
        <w:t>加强业务沟通、完善工作计划。</w:t>
      </w:r>
      <w:r w:rsidRPr="003034CA">
        <w:rPr>
          <w:rFonts w:ascii="仿宋" w:eastAsia="仿宋" w:hAnsi="仿宋" w:cs="Times New Roman"/>
          <w:color w:val="000000"/>
          <w:sz w:val="30"/>
          <w:szCs w:val="30"/>
        </w:rPr>
        <w:t>制定中长期规划及年度工作计划需要对部门职责、市委市政府的总体规划以及项目的实际情况进行深入了解。目前大部分部门制定的中长期规划及年度计划，对工作内容的规划比较详实，但缺乏具体的目标要求及进度安排，具有一定的局限性。相关人员</w:t>
      </w:r>
      <w:r w:rsidRPr="003034CA">
        <w:rPr>
          <w:rFonts w:ascii="仿宋" w:eastAsia="仿宋" w:hAnsi="仿宋" w:cs="Times New Roman" w:hint="eastAsia"/>
          <w:color w:val="000000"/>
          <w:sz w:val="30"/>
          <w:szCs w:val="30"/>
        </w:rPr>
        <w:t>应</w:t>
      </w:r>
      <w:r w:rsidRPr="003034CA">
        <w:rPr>
          <w:rFonts w:ascii="仿宋" w:eastAsia="仿宋" w:hAnsi="仿宋" w:cs="Times New Roman"/>
          <w:color w:val="000000"/>
          <w:sz w:val="30"/>
          <w:szCs w:val="30"/>
        </w:rPr>
        <w:t>加强与业务部门的沟通，了解业务规划安排；加强学习市委市政府的总体规划内容，以此为依据并提前预判，完善部门规划及计划内容。</w:t>
      </w:r>
    </w:p>
    <w:p w:rsidR="00293B0A" w:rsidRPr="003034CA" w:rsidRDefault="00293B0A" w:rsidP="003034CA">
      <w:pPr>
        <w:spacing w:line="560" w:lineRule="exact"/>
        <w:ind w:firstLineChars="200" w:firstLine="600"/>
        <w:rPr>
          <w:rFonts w:ascii="仿宋" w:eastAsia="仿宋" w:hAnsi="仿宋" w:cs="Times New Roman"/>
          <w:color w:val="000000"/>
          <w:sz w:val="30"/>
          <w:szCs w:val="30"/>
        </w:rPr>
      </w:pPr>
      <w:r w:rsidRPr="003034CA">
        <w:rPr>
          <w:rFonts w:ascii="仿宋" w:eastAsia="仿宋" w:hAnsi="仿宋" w:cs="Times New Roman" w:hint="eastAsia"/>
          <w:bCs/>
          <w:color w:val="000000"/>
          <w:sz w:val="30"/>
          <w:szCs w:val="30"/>
        </w:rPr>
        <w:t>二是</w:t>
      </w:r>
      <w:r w:rsidRPr="003034CA">
        <w:rPr>
          <w:rFonts w:ascii="仿宋" w:eastAsia="仿宋" w:hAnsi="仿宋" w:cs="Times New Roman"/>
          <w:bCs/>
          <w:color w:val="000000"/>
          <w:sz w:val="30"/>
          <w:szCs w:val="30"/>
        </w:rPr>
        <w:t>加强绩效管理学习</w:t>
      </w:r>
      <w:r w:rsidRPr="003034CA">
        <w:rPr>
          <w:rFonts w:ascii="仿宋" w:eastAsia="仿宋" w:hAnsi="仿宋" w:cs="Times New Roman" w:hint="eastAsia"/>
          <w:bCs/>
          <w:color w:val="000000"/>
          <w:sz w:val="30"/>
          <w:szCs w:val="30"/>
        </w:rPr>
        <w:t>、完善部门绩效指标体系建设。</w:t>
      </w:r>
      <w:r w:rsidRPr="003034CA">
        <w:rPr>
          <w:rFonts w:ascii="仿宋" w:eastAsia="仿宋" w:hAnsi="仿宋" w:cs="Times New Roman"/>
          <w:color w:val="000000"/>
          <w:sz w:val="30"/>
          <w:szCs w:val="30"/>
        </w:rPr>
        <w:t>各相关业务部门应与绩效编制人员加强沟通，科学合理的反映部门履职情况</w:t>
      </w:r>
      <w:r w:rsidRPr="003034CA">
        <w:rPr>
          <w:rFonts w:ascii="仿宋" w:eastAsia="仿宋" w:hAnsi="仿宋" w:cs="Times New Roman" w:hint="eastAsia"/>
          <w:color w:val="000000"/>
          <w:sz w:val="30"/>
          <w:szCs w:val="30"/>
        </w:rPr>
        <w:t>。可通过借鉴学习绩效管理工作开展较好的上级主管部门或同级兄弟单位的管理经验，提升绩效管理水平。并参考上述单位绩效评价指标体系内容，注重收集以前年度工作效益数据，合理分析设计出符合本单位实际情况的绩效目标及指标体系。</w:t>
      </w:r>
    </w:p>
    <w:p w:rsidR="00293B0A" w:rsidRPr="003034CA" w:rsidRDefault="00293B0A" w:rsidP="003034CA">
      <w:pPr>
        <w:spacing w:line="560" w:lineRule="exact"/>
        <w:ind w:firstLineChars="200" w:firstLine="600"/>
        <w:rPr>
          <w:rFonts w:ascii="仿宋" w:eastAsia="仿宋" w:hAnsi="仿宋" w:cs="楷体"/>
          <w:sz w:val="30"/>
          <w:szCs w:val="30"/>
        </w:rPr>
      </w:pPr>
      <w:r w:rsidRPr="003034CA">
        <w:rPr>
          <w:rFonts w:ascii="仿宋" w:eastAsia="仿宋" w:hAnsi="仿宋" w:cs="楷体" w:hint="eastAsia"/>
          <w:sz w:val="30"/>
          <w:szCs w:val="30"/>
        </w:rPr>
        <w:lastRenderedPageBreak/>
        <w:t>（二）固定资产管理不够规范、资产配置不够合理</w:t>
      </w:r>
    </w:p>
    <w:p w:rsidR="00293B0A" w:rsidRPr="003034CA" w:rsidRDefault="00293B0A" w:rsidP="003034CA">
      <w:pPr>
        <w:spacing w:line="560" w:lineRule="exact"/>
        <w:ind w:firstLineChars="200" w:firstLine="600"/>
        <w:rPr>
          <w:rFonts w:ascii="仿宋" w:eastAsia="仿宋" w:hAnsi="仿宋" w:cs="Times New Roman"/>
          <w:color w:val="000000"/>
          <w:sz w:val="30"/>
          <w:szCs w:val="30"/>
        </w:rPr>
      </w:pPr>
      <w:r w:rsidRPr="003034CA">
        <w:rPr>
          <w:rFonts w:ascii="仿宋" w:eastAsia="仿宋" w:hAnsi="仿宋" w:cs="Times New Roman" w:hint="eastAsia"/>
          <w:color w:val="000000"/>
          <w:sz w:val="30"/>
          <w:szCs w:val="30"/>
        </w:rPr>
        <w:t>固定资产管理的规范，是提高国有资产使用效率，减少财政资金浪费的重要保障。通过本次绩效评价工作，固定资产管理不够规范作为共性问题，主要存在以下几个方面的情况：</w:t>
      </w:r>
    </w:p>
    <w:p w:rsidR="00293B0A" w:rsidRPr="003034CA" w:rsidRDefault="00293B0A" w:rsidP="003034CA">
      <w:pPr>
        <w:spacing w:line="560" w:lineRule="exact"/>
        <w:ind w:firstLineChars="200" w:firstLine="600"/>
        <w:rPr>
          <w:rFonts w:ascii="仿宋" w:eastAsia="仿宋" w:hAnsi="仿宋" w:cs="仿宋_GB2312"/>
          <w:bCs/>
          <w:sz w:val="30"/>
          <w:szCs w:val="30"/>
        </w:rPr>
      </w:pPr>
      <w:r w:rsidRPr="003034CA">
        <w:rPr>
          <w:rFonts w:ascii="仿宋" w:eastAsia="仿宋" w:hAnsi="仿宋" w:cs="Times New Roman" w:hint="eastAsia"/>
          <w:bCs/>
          <w:color w:val="000000"/>
          <w:sz w:val="30"/>
          <w:szCs w:val="30"/>
        </w:rPr>
        <w:t>一是</w:t>
      </w:r>
      <w:r w:rsidRPr="003034CA">
        <w:rPr>
          <w:rFonts w:ascii="仿宋" w:eastAsia="仿宋" w:hAnsi="仿宋" w:cs="仿宋_GB2312" w:hint="eastAsia"/>
          <w:bCs/>
          <w:sz w:val="30"/>
          <w:szCs w:val="30"/>
        </w:rPr>
        <w:t>固定资产未粘贴资产标识卡、未定期开展资产盘点工作。可能导致影响资产盘点的准确性，无法有效保证资产账实相符。</w:t>
      </w:r>
    </w:p>
    <w:p w:rsidR="00293B0A" w:rsidRPr="003034CA" w:rsidRDefault="00293B0A" w:rsidP="003034CA">
      <w:pPr>
        <w:pStyle w:val="2"/>
        <w:spacing w:line="560" w:lineRule="exact"/>
        <w:ind w:firstLine="600"/>
        <w:rPr>
          <w:rFonts w:ascii="仿宋" w:eastAsia="仿宋" w:hAnsi="仿宋" w:cs="仿宋_GB2312"/>
          <w:bCs/>
          <w:sz w:val="30"/>
          <w:szCs w:val="30"/>
        </w:rPr>
      </w:pPr>
      <w:r w:rsidRPr="003034CA">
        <w:rPr>
          <w:rFonts w:ascii="仿宋" w:eastAsia="仿宋" w:hAnsi="仿宋" w:cs="仿宋_GB2312" w:hint="eastAsia"/>
          <w:sz w:val="30"/>
          <w:szCs w:val="30"/>
        </w:rPr>
        <w:t>二是资产入账不及时。</w:t>
      </w:r>
      <w:r w:rsidRPr="003034CA">
        <w:rPr>
          <w:rFonts w:ascii="仿宋" w:eastAsia="仿宋" w:hAnsi="仿宋" w:cs="仿宋_GB2312" w:hint="eastAsia"/>
          <w:bCs/>
          <w:sz w:val="30"/>
          <w:szCs w:val="30"/>
        </w:rPr>
        <w:t>例如：程龙镇（22年12月记账凭证20#）固定资产补录3500.00元，补录附件材料不全，不能及时反映资产的现实状况并进行相应会计处理。</w:t>
      </w:r>
    </w:p>
    <w:p w:rsidR="00293B0A" w:rsidRPr="003034CA" w:rsidRDefault="00293B0A" w:rsidP="003034CA">
      <w:pPr>
        <w:spacing w:line="560" w:lineRule="exact"/>
        <w:ind w:firstLineChars="200" w:firstLine="600"/>
        <w:rPr>
          <w:rFonts w:ascii="仿宋" w:eastAsia="仿宋" w:hAnsi="仿宋" w:cs="仿宋_GB2312"/>
          <w:bCs/>
          <w:sz w:val="30"/>
          <w:szCs w:val="30"/>
        </w:rPr>
      </w:pPr>
      <w:r w:rsidRPr="003034CA">
        <w:rPr>
          <w:rFonts w:ascii="仿宋" w:eastAsia="仿宋" w:hAnsi="仿宋" w:cs="仿宋_GB2312" w:hint="eastAsia"/>
          <w:sz w:val="30"/>
          <w:szCs w:val="30"/>
        </w:rPr>
        <w:t>三是部分固定资产配置超标</w:t>
      </w:r>
      <w:r w:rsidRPr="003034CA">
        <w:rPr>
          <w:rFonts w:ascii="仿宋" w:eastAsia="仿宋" w:hAnsi="仿宋" w:cs="仿宋_GB2312" w:hint="eastAsia"/>
          <w:bCs/>
          <w:sz w:val="30"/>
          <w:szCs w:val="30"/>
        </w:rPr>
        <w:t>。例如：市应急管理局台式电脑共计33台，其中25台原值超过5,000.00元价格上限；笔记本共计30台，控制数比例81.08%，超过按单位编制内实有人数50%的控制数，其中24台原值超过7,000.00元价格上限；彩色打印机共计3台，控制数比例8.11%，超过按单位编制内实有人数3%的控制数，其中1台A3彩色打印机原值超过15,000.00元价格上限，2台A4彩色打印机原值超过2,000.00元价格上限。</w:t>
      </w:r>
    </w:p>
    <w:p w:rsidR="00293B0A" w:rsidRPr="003034CA" w:rsidRDefault="00293B0A" w:rsidP="003034CA">
      <w:pPr>
        <w:pStyle w:val="2"/>
        <w:spacing w:line="560" w:lineRule="exact"/>
        <w:ind w:firstLine="600"/>
        <w:rPr>
          <w:rFonts w:ascii="仿宋" w:eastAsia="仿宋" w:hAnsi="仿宋" w:cs="仿宋_GB2312"/>
          <w:bCs/>
          <w:sz w:val="30"/>
          <w:szCs w:val="30"/>
        </w:rPr>
      </w:pPr>
      <w:r w:rsidRPr="003034CA">
        <w:rPr>
          <w:rFonts w:ascii="仿宋" w:eastAsia="仿宋" w:hAnsi="仿宋" w:cs="仿宋_GB2312" w:hint="eastAsia"/>
          <w:bCs/>
          <w:sz w:val="30"/>
          <w:szCs w:val="30"/>
        </w:rPr>
        <w:t>建议相关资产管理部门应加大资产管理力度，切实做好资产管理工作，制作粘贴资产标识卡，健全资产管理台账及相关数据，从而保证资产账账相符、账实相符，同时也为今后资产采购预算编制提供依据；定期进行资产盘点工作，对需要处置的资产及时申报清理，保证部门资产使用率在合理水平；合理安排采购预算、审核采购金额，保证部门资产配置符合标准要求。</w:t>
      </w:r>
    </w:p>
    <w:p w:rsidR="00293B0A" w:rsidRPr="003034CA" w:rsidRDefault="00293B0A" w:rsidP="003034CA">
      <w:pPr>
        <w:spacing w:line="560" w:lineRule="exact"/>
        <w:ind w:firstLineChars="200" w:firstLine="600"/>
        <w:rPr>
          <w:rFonts w:ascii="仿宋" w:eastAsia="仿宋" w:hAnsi="仿宋" w:cs="楷体"/>
          <w:sz w:val="30"/>
          <w:szCs w:val="30"/>
        </w:rPr>
      </w:pPr>
      <w:r w:rsidRPr="003034CA">
        <w:rPr>
          <w:rFonts w:ascii="仿宋" w:eastAsia="仿宋" w:hAnsi="仿宋" w:cs="楷体" w:hint="eastAsia"/>
          <w:sz w:val="30"/>
          <w:szCs w:val="30"/>
        </w:rPr>
        <w:t>（三）政府采购预算编制不够合理</w:t>
      </w:r>
    </w:p>
    <w:p w:rsidR="00293B0A" w:rsidRPr="003034CA" w:rsidRDefault="00293B0A" w:rsidP="003034CA">
      <w:pPr>
        <w:pStyle w:val="2"/>
        <w:spacing w:line="560" w:lineRule="exact"/>
        <w:ind w:firstLine="600"/>
        <w:rPr>
          <w:rFonts w:ascii="仿宋" w:eastAsia="仿宋" w:hAnsi="仿宋" w:cs="仿宋"/>
          <w:color w:val="000000"/>
          <w:sz w:val="30"/>
          <w:szCs w:val="30"/>
        </w:rPr>
      </w:pPr>
      <w:r w:rsidRPr="003034CA">
        <w:rPr>
          <w:rFonts w:ascii="仿宋" w:eastAsia="仿宋" w:hAnsi="仿宋" w:cs="仿宋" w:hint="eastAsia"/>
          <w:color w:val="000000"/>
          <w:sz w:val="30"/>
          <w:szCs w:val="30"/>
        </w:rPr>
        <w:t>通过对本次龙南市相关部门开展部门整体支出及项目支出绩效评价工作，我们发现部分单位部门政府采购预算存在“为预</w:t>
      </w:r>
      <w:r w:rsidRPr="003034CA">
        <w:rPr>
          <w:rFonts w:ascii="仿宋" w:eastAsia="仿宋" w:hAnsi="仿宋" w:cs="仿宋" w:hint="eastAsia"/>
          <w:color w:val="000000"/>
          <w:sz w:val="30"/>
          <w:szCs w:val="30"/>
        </w:rPr>
        <w:lastRenderedPageBreak/>
        <w:t>算而预算”“预算等计划”等情况。在无实际采购需求，或采购计划不明确的情况下，申报政府采购预算。</w:t>
      </w:r>
    </w:p>
    <w:p w:rsidR="00293B0A" w:rsidRPr="003034CA" w:rsidRDefault="00293B0A" w:rsidP="003034CA">
      <w:pPr>
        <w:spacing w:line="560" w:lineRule="exact"/>
        <w:ind w:firstLineChars="200" w:firstLine="600"/>
        <w:rPr>
          <w:rFonts w:ascii="仿宋" w:eastAsia="仿宋" w:hAnsi="仿宋" w:cs="Times New Roman"/>
          <w:bCs/>
          <w:color w:val="000000"/>
          <w:sz w:val="30"/>
          <w:szCs w:val="30"/>
        </w:rPr>
      </w:pPr>
      <w:r w:rsidRPr="003034CA">
        <w:rPr>
          <w:rFonts w:ascii="仿宋" w:eastAsia="仿宋" w:hAnsi="仿宋" w:cs="Times New Roman" w:hint="eastAsia"/>
          <w:bCs/>
          <w:color w:val="000000"/>
          <w:sz w:val="30"/>
          <w:szCs w:val="30"/>
        </w:rPr>
        <w:t>针对上述问题，相关建议如下：</w:t>
      </w:r>
    </w:p>
    <w:p w:rsidR="00293B0A" w:rsidRPr="003034CA" w:rsidRDefault="00293B0A" w:rsidP="003034CA">
      <w:pPr>
        <w:pStyle w:val="2"/>
        <w:spacing w:line="560" w:lineRule="exact"/>
        <w:ind w:firstLine="600"/>
        <w:rPr>
          <w:rFonts w:ascii="仿宋" w:eastAsia="仿宋" w:hAnsi="仿宋" w:cs="仿宋_GB2312"/>
          <w:sz w:val="30"/>
          <w:szCs w:val="30"/>
        </w:rPr>
      </w:pPr>
      <w:r w:rsidRPr="003034CA">
        <w:rPr>
          <w:rFonts w:ascii="仿宋" w:eastAsia="仿宋" w:hAnsi="仿宋" w:cs="仿宋" w:hint="eastAsia"/>
          <w:sz w:val="30"/>
          <w:szCs w:val="30"/>
        </w:rPr>
        <w:t>提高政府采购预算的编制质量，必须遵循以下原则:一是政策性原则。作为事业行政单位财务管理的重要内容之一的政府采购预算编制，必须体现国家有关方针、政策。二是实用性原则。单位在安排政府采购预算项目时,要精打细算，不要盲目追求“超前”,应在满足工作需要的前提下,适当超前。</w:t>
      </w:r>
    </w:p>
    <w:sectPr w:rsidR="00293B0A" w:rsidRPr="003034CA" w:rsidSect="00DE70CB">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895" w:rsidRDefault="00054895" w:rsidP="00873D9E">
      <w:r>
        <w:separator/>
      </w:r>
    </w:p>
  </w:endnote>
  <w:endnote w:type="continuationSeparator" w:id="1">
    <w:p w:rsidR="00054895" w:rsidRDefault="00054895" w:rsidP="00873D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895" w:rsidRDefault="00054895" w:rsidP="00873D9E">
      <w:r>
        <w:separator/>
      </w:r>
    </w:p>
  </w:footnote>
  <w:footnote w:type="continuationSeparator" w:id="1">
    <w:p w:rsidR="00054895" w:rsidRDefault="00054895" w:rsidP="00873D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B0A"/>
    <w:rsid w:val="00013032"/>
    <w:rsid w:val="00054895"/>
    <w:rsid w:val="00293B0A"/>
    <w:rsid w:val="003034CA"/>
    <w:rsid w:val="00873D9E"/>
    <w:rsid w:val="00B9177B"/>
    <w:rsid w:val="00D64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3B0A"/>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nhideWhenUsed/>
    <w:qFormat/>
    <w:rsid w:val="00293B0A"/>
    <w:pPr>
      <w:spacing w:after="120"/>
    </w:pPr>
  </w:style>
  <w:style w:type="character" w:customStyle="1" w:styleId="Char">
    <w:name w:val="正文文本 Char"/>
    <w:basedOn w:val="a1"/>
    <w:link w:val="a4"/>
    <w:uiPriority w:val="99"/>
    <w:semiHidden/>
    <w:rsid w:val="00293B0A"/>
    <w:rPr>
      <w:szCs w:val="24"/>
    </w:rPr>
  </w:style>
  <w:style w:type="paragraph" w:styleId="a0">
    <w:name w:val="Body Text First Indent"/>
    <w:basedOn w:val="a4"/>
    <w:link w:val="Char0"/>
    <w:uiPriority w:val="99"/>
    <w:qFormat/>
    <w:rsid w:val="00293B0A"/>
    <w:pPr>
      <w:spacing w:after="0"/>
      <w:ind w:firstLineChars="100" w:firstLine="420"/>
    </w:pPr>
  </w:style>
  <w:style w:type="character" w:customStyle="1" w:styleId="Char0">
    <w:name w:val="正文首行缩进 Char"/>
    <w:basedOn w:val="Char"/>
    <w:link w:val="a0"/>
    <w:uiPriority w:val="99"/>
    <w:rsid w:val="00293B0A"/>
  </w:style>
  <w:style w:type="paragraph" w:styleId="a5">
    <w:name w:val="Body Text Indent"/>
    <w:basedOn w:val="a"/>
    <w:next w:val="a6"/>
    <w:link w:val="Char1"/>
    <w:qFormat/>
    <w:rsid w:val="00293B0A"/>
    <w:pPr>
      <w:spacing w:after="120"/>
      <w:ind w:leftChars="200" w:left="420"/>
    </w:pPr>
  </w:style>
  <w:style w:type="character" w:customStyle="1" w:styleId="Char1">
    <w:name w:val="正文文本缩进 Char"/>
    <w:basedOn w:val="a1"/>
    <w:link w:val="a5"/>
    <w:rsid w:val="00293B0A"/>
    <w:rPr>
      <w:szCs w:val="24"/>
    </w:rPr>
  </w:style>
  <w:style w:type="paragraph" w:styleId="a7">
    <w:name w:val="Normal (Web)"/>
    <w:basedOn w:val="a"/>
    <w:uiPriority w:val="99"/>
    <w:semiHidden/>
    <w:unhideWhenUsed/>
    <w:qFormat/>
    <w:rsid w:val="00293B0A"/>
    <w:pPr>
      <w:spacing w:beforeAutospacing="1" w:afterAutospacing="1"/>
      <w:jc w:val="left"/>
    </w:pPr>
    <w:rPr>
      <w:kern w:val="0"/>
      <w:sz w:val="24"/>
    </w:rPr>
  </w:style>
  <w:style w:type="paragraph" w:styleId="2">
    <w:name w:val="Body Text First Indent 2"/>
    <w:basedOn w:val="a"/>
    <w:link w:val="2Char"/>
    <w:uiPriority w:val="99"/>
    <w:unhideWhenUsed/>
    <w:qFormat/>
    <w:rsid w:val="00293B0A"/>
    <w:pPr>
      <w:ind w:firstLineChars="200" w:firstLine="420"/>
    </w:pPr>
  </w:style>
  <w:style w:type="character" w:customStyle="1" w:styleId="2Char">
    <w:name w:val="正文首行缩进 2 Char"/>
    <w:basedOn w:val="Char1"/>
    <w:link w:val="2"/>
    <w:uiPriority w:val="99"/>
    <w:rsid w:val="00293B0A"/>
  </w:style>
  <w:style w:type="paragraph" w:customStyle="1" w:styleId="a8">
    <w:name w:val="正 文"/>
    <w:qFormat/>
    <w:rsid w:val="00293B0A"/>
    <w:pPr>
      <w:ind w:firstLine="200"/>
    </w:pPr>
    <w:rPr>
      <w:rFonts w:ascii="宋体" w:eastAsia="宋体" w:hAnsi="宋体" w:cs="Times New Roman"/>
      <w:kern w:val="0"/>
      <w:sz w:val="20"/>
      <w:szCs w:val="20"/>
    </w:rPr>
  </w:style>
  <w:style w:type="paragraph" w:styleId="a6">
    <w:name w:val="Normal Indent"/>
    <w:basedOn w:val="a"/>
    <w:uiPriority w:val="99"/>
    <w:semiHidden/>
    <w:unhideWhenUsed/>
    <w:rsid w:val="00293B0A"/>
    <w:pPr>
      <w:ind w:firstLineChars="200" w:firstLine="420"/>
    </w:pPr>
  </w:style>
  <w:style w:type="paragraph" w:styleId="a9">
    <w:name w:val="header"/>
    <w:basedOn w:val="a"/>
    <w:link w:val="Char2"/>
    <w:uiPriority w:val="99"/>
    <w:semiHidden/>
    <w:unhideWhenUsed/>
    <w:rsid w:val="00873D9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semiHidden/>
    <w:rsid w:val="00873D9E"/>
    <w:rPr>
      <w:sz w:val="18"/>
      <w:szCs w:val="18"/>
    </w:rPr>
  </w:style>
  <w:style w:type="paragraph" w:styleId="aa">
    <w:name w:val="footer"/>
    <w:basedOn w:val="a"/>
    <w:link w:val="Char3"/>
    <w:uiPriority w:val="99"/>
    <w:semiHidden/>
    <w:unhideWhenUsed/>
    <w:rsid w:val="00873D9E"/>
    <w:pPr>
      <w:tabs>
        <w:tab w:val="center" w:pos="4153"/>
        <w:tab w:val="right" w:pos="8306"/>
      </w:tabs>
      <w:snapToGrid w:val="0"/>
      <w:jc w:val="left"/>
    </w:pPr>
    <w:rPr>
      <w:sz w:val="18"/>
      <w:szCs w:val="18"/>
    </w:rPr>
  </w:style>
  <w:style w:type="character" w:customStyle="1" w:styleId="Char3">
    <w:name w:val="页脚 Char"/>
    <w:basedOn w:val="a1"/>
    <w:link w:val="aa"/>
    <w:uiPriority w:val="99"/>
    <w:semiHidden/>
    <w:rsid w:val="00873D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419</Words>
  <Characters>2391</Characters>
  <Application>Microsoft Office Word</Application>
  <DocSecurity>0</DocSecurity>
  <Lines>19</Lines>
  <Paragraphs>5</Paragraphs>
  <ScaleCrop>false</ScaleCrop>
  <Company>CHINA</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2023-09-15T03:09:00Z</dcterms:created>
  <dcterms:modified xsi:type="dcterms:W3CDTF">2023-09-18T07:47:00Z</dcterms:modified>
</cp:coreProperties>
</file>