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pPr>
      <w:r>
        <w:rPr>
          <w:rFonts w:ascii="Calibri" w:hAnsi="Calibri" w:eastAsia="宋体" w:cs="Calibri"/>
          <w:kern w:val="2"/>
          <w:sz w:val="36"/>
          <w:szCs w:val="36"/>
          <w:lang w:val="en-US" w:eastAsia="zh-CN" w:bidi="ar"/>
        </w:rPr>
        <w:t>2022</w:t>
      </w:r>
      <w:r>
        <w:rPr>
          <w:rFonts w:hint="eastAsia" w:ascii="宋体" w:hAnsi="宋体" w:eastAsia="宋体" w:cs="宋体"/>
          <w:kern w:val="2"/>
          <w:sz w:val="36"/>
          <w:szCs w:val="36"/>
          <w:lang w:val="en-US" w:eastAsia="zh-CN" w:bidi="ar"/>
        </w:rPr>
        <w:t>年度特岗教师工资项目绩效目标自评报告</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一、</w:t>
      </w:r>
      <w:r>
        <w:rPr>
          <w:rFonts w:hint="eastAsia" w:ascii="宋体" w:hAnsi="宋体" w:eastAsia="宋体" w:cs="宋体"/>
          <w:b/>
          <w:bCs/>
          <w:kern w:val="2"/>
          <w:sz w:val="32"/>
          <w:szCs w:val="32"/>
          <w:lang w:val="en-US" w:eastAsia="zh-CN" w:bidi="ar"/>
        </w:rPr>
        <w:t>绩效目标分解下达情况</w:t>
      </w:r>
    </w:p>
    <w:p>
      <w:pPr>
        <w:keepNext w:val="0"/>
        <w:keepLines w:val="0"/>
        <w:widowControl/>
        <w:suppressLineNumbers w:val="0"/>
        <w:spacing w:before="0" w:beforeAutospacing="1" w:after="0" w:afterAutospacing="1" w:line="23" w:lineRule="atLeast"/>
        <w:ind w:left="0" w:right="0"/>
        <w:jc w:val="left"/>
      </w:pPr>
      <w:r>
        <w:rPr>
          <w:rFonts w:hint="eastAsia" w:ascii="宋体" w:hAnsi="宋体" w:eastAsia="宋体" w:cs="宋体"/>
          <w:kern w:val="2"/>
          <w:sz w:val="28"/>
          <w:szCs w:val="28"/>
          <w:lang w:val="en-US" w:eastAsia="zh-CN" w:bidi="ar"/>
        </w:rPr>
        <w:t>（一）特岗教师工资预算和绩效目标情况。</w:t>
      </w:r>
    </w:p>
    <w:p>
      <w:pPr>
        <w:keepNext w:val="0"/>
        <w:keepLines w:val="0"/>
        <w:widowControl/>
        <w:suppressLineNumbers w:val="0"/>
        <w:spacing w:before="0" w:beforeAutospacing="1" w:after="0" w:afterAutospacing="1" w:line="23" w:lineRule="atLeast"/>
        <w:ind w:left="0" w:right="0" w:firstLine="560" w:firstLineChars="200"/>
        <w:jc w:val="left"/>
      </w:pPr>
      <w:r>
        <w:rPr>
          <w:rFonts w:hint="default" w:ascii="Calibri" w:hAnsi="Calibri" w:eastAsia="宋体" w:cs="Calibri"/>
          <w:kern w:val="2"/>
          <w:sz w:val="28"/>
          <w:szCs w:val="28"/>
          <w:lang w:val="en-US" w:eastAsia="zh-CN" w:bidi="ar"/>
        </w:rPr>
        <w:t>2022</w:t>
      </w:r>
      <w:r>
        <w:rPr>
          <w:rFonts w:hint="eastAsia" w:ascii="宋体" w:hAnsi="宋体" w:eastAsia="宋体" w:cs="宋体"/>
          <w:kern w:val="2"/>
          <w:sz w:val="28"/>
          <w:szCs w:val="28"/>
          <w:lang w:val="en-US" w:eastAsia="zh-CN" w:bidi="ar"/>
        </w:rPr>
        <w:t>年度山区津贴全年预算资金为</w:t>
      </w:r>
      <w:r>
        <w:rPr>
          <w:rFonts w:hint="default" w:ascii="Calibri" w:hAnsi="Calibri" w:eastAsia="宋体" w:cs="Calibri"/>
          <w:kern w:val="2"/>
          <w:sz w:val="28"/>
          <w:szCs w:val="28"/>
          <w:lang w:val="en-US" w:eastAsia="zh-CN" w:bidi="ar"/>
        </w:rPr>
        <w:t>21.396876</w:t>
      </w:r>
      <w:r>
        <w:rPr>
          <w:rFonts w:hint="eastAsia" w:ascii="宋体" w:hAnsi="宋体" w:eastAsia="宋体" w:cs="宋体"/>
          <w:kern w:val="2"/>
          <w:sz w:val="28"/>
          <w:szCs w:val="28"/>
          <w:lang w:val="en-US" w:eastAsia="zh-CN" w:bidi="ar"/>
        </w:rPr>
        <w:t>万元，</w:t>
      </w:r>
      <w:r>
        <w:rPr>
          <w:rFonts w:hint="default" w:ascii="Calibri" w:hAnsi="Calibri" w:eastAsia="宋体" w:cs="Calibri"/>
          <w:kern w:val="2"/>
          <w:sz w:val="28"/>
          <w:szCs w:val="28"/>
          <w:lang w:val="en-US" w:eastAsia="zh-CN" w:bidi="ar"/>
        </w:rPr>
        <w:t>2022</w:t>
      </w:r>
      <w:r>
        <w:rPr>
          <w:rFonts w:hint="eastAsia" w:ascii="宋体" w:hAnsi="宋体" w:eastAsia="宋体" w:cs="宋体"/>
          <w:kern w:val="2"/>
          <w:sz w:val="28"/>
          <w:szCs w:val="28"/>
          <w:lang w:val="en-US" w:eastAsia="zh-CN" w:bidi="ar"/>
        </w:rPr>
        <w:t>年实际下达资金为</w:t>
      </w:r>
      <w:r>
        <w:rPr>
          <w:rFonts w:hint="default" w:ascii="Calibri" w:hAnsi="Calibri" w:eastAsia="宋体" w:cs="Calibri"/>
          <w:kern w:val="2"/>
          <w:sz w:val="28"/>
          <w:szCs w:val="28"/>
          <w:lang w:val="en-US" w:eastAsia="zh-CN" w:bidi="ar"/>
        </w:rPr>
        <w:t>21.396876</w:t>
      </w:r>
      <w:r>
        <w:rPr>
          <w:rFonts w:hint="eastAsia" w:ascii="宋体" w:hAnsi="宋体" w:eastAsia="宋体" w:cs="宋体"/>
          <w:kern w:val="2"/>
          <w:sz w:val="28"/>
          <w:szCs w:val="28"/>
          <w:lang w:val="en-US" w:eastAsia="zh-CN" w:bidi="ar"/>
        </w:rPr>
        <w:t>万元，主要用于保障特岗教师生活质量，提高教师生活水平，提升教师幸福感，巩固教师队伍。</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二、</w:t>
      </w:r>
      <w:r>
        <w:rPr>
          <w:rFonts w:hint="eastAsia" w:ascii="宋体" w:hAnsi="宋体" w:eastAsia="宋体" w:cs="宋体"/>
          <w:b/>
          <w:bCs/>
          <w:kern w:val="2"/>
          <w:sz w:val="32"/>
          <w:szCs w:val="32"/>
          <w:lang w:val="en-US" w:eastAsia="zh-CN" w:bidi="ar"/>
        </w:rPr>
        <w:t>绩效目标完成情况分析</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0"/>
          <w:szCs w:val="30"/>
          <w:lang w:val="en-US" w:eastAsia="zh-CN" w:bidi="ar"/>
        </w:rPr>
        <w:t>（一）</w:t>
      </w:r>
      <w:r>
        <w:rPr>
          <w:rFonts w:hint="eastAsia" w:ascii="宋体" w:hAnsi="宋体" w:eastAsia="宋体" w:cs="宋体"/>
          <w:b/>
          <w:bCs/>
          <w:kern w:val="2"/>
          <w:sz w:val="30"/>
          <w:szCs w:val="30"/>
          <w:lang w:val="en-US" w:eastAsia="zh-CN" w:bidi="ar"/>
        </w:rPr>
        <w:t>资金投入情况分析</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4"/>
          <w:szCs w:val="24"/>
          <w:lang w:val="en-US" w:eastAsia="zh-CN" w:bidi="ar"/>
        </w:rPr>
        <w:t>1. </w:t>
      </w:r>
      <w:r>
        <w:rPr>
          <w:rFonts w:hint="eastAsia" w:ascii="宋体" w:hAnsi="宋体" w:eastAsia="宋体" w:cs="宋体"/>
          <w:kern w:val="2"/>
          <w:sz w:val="24"/>
          <w:szCs w:val="24"/>
          <w:lang w:val="en-US" w:eastAsia="zh-CN" w:bidi="ar"/>
        </w:rPr>
        <w:t>项目资金到位情况分析</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资金已全额到位并下达至本单位。</w:t>
      </w:r>
    </w:p>
    <w:p>
      <w:pPr>
        <w:keepNext w:val="0"/>
        <w:keepLines w:val="0"/>
        <w:widowControl/>
        <w:suppressLineNumbers w:val="0"/>
        <w:spacing w:before="0" w:beforeAutospacing="1" w:after="0" w:afterAutospacing="1" w:line="23" w:lineRule="atLeast"/>
        <w:ind w:left="0" w:right="0" w:firstLine="480" w:firstLineChars="200"/>
        <w:jc w:val="left"/>
      </w:pPr>
      <w:r>
        <w:rPr>
          <w:rFonts w:hint="eastAsia" w:ascii="宋体" w:hAnsi="宋体" w:eastAsia="宋体" w:cs="宋体"/>
          <w:kern w:val="2"/>
          <w:sz w:val="24"/>
          <w:szCs w:val="24"/>
          <w:lang w:val="en-US" w:eastAsia="zh-CN" w:bidi="ar"/>
        </w:rPr>
        <w:t>项目资金执行情</w:t>
      </w:r>
      <w:r>
        <w:rPr>
          <w:rFonts w:hint="eastAsia" w:ascii="宋体" w:hAnsi="宋体" w:eastAsia="宋体" w:cs="宋体"/>
          <w:kern w:val="2"/>
          <w:sz w:val="28"/>
          <w:szCs w:val="28"/>
          <w:lang w:val="en-US" w:eastAsia="zh-CN" w:bidi="ar"/>
        </w:rPr>
        <w:t>况分析</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预算单位将特岗教师工资主要用于发放特岗教师，保障特岗教师生活质量，提高特岗教师生活水平，提升特岗教师幸福感，使特岗在学校更加安心工作、学习、生活。</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4"/>
          <w:szCs w:val="24"/>
          <w:lang w:val="en-US" w:eastAsia="zh-CN" w:bidi="ar"/>
        </w:rPr>
        <w:t>2. </w:t>
      </w:r>
      <w:r>
        <w:rPr>
          <w:rFonts w:hint="eastAsia" w:ascii="宋体" w:hAnsi="宋体" w:eastAsia="宋体" w:cs="宋体"/>
          <w:kern w:val="2"/>
          <w:sz w:val="24"/>
          <w:szCs w:val="24"/>
          <w:lang w:val="en-US" w:eastAsia="zh-CN" w:bidi="ar"/>
        </w:rPr>
        <w:t>项目资金管理情况分析</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4"/>
          <w:szCs w:val="24"/>
          <w:lang w:val="en-US" w:eastAsia="zh-CN" w:bidi="ar"/>
        </w:rPr>
        <w:t>   </w:t>
      </w:r>
      <w:r>
        <w:rPr>
          <w:rFonts w:hint="eastAsia" w:ascii="Calibri" w:hAnsi="Calibri" w:eastAsia="宋体" w:cs="Times New Roman"/>
          <w:kern w:val="2"/>
          <w:sz w:val="28"/>
          <w:szCs w:val="28"/>
          <w:lang w:val="en-US" w:eastAsia="zh-CN" w:bidi="ar"/>
        </w:rPr>
        <w:t> </w:t>
      </w:r>
      <w:r>
        <w:rPr>
          <w:rFonts w:hint="eastAsia" w:ascii="宋体" w:hAnsi="宋体" w:eastAsia="宋体" w:cs="宋体"/>
          <w:kern w:val="2"/>
          <w:sz w:val="28"/>
          <w:szCs w:val="28"/>
          <w:lang w:val="en-US" w:eastAsia="zh-CN" w:bidi="ar"/>
        </w:rPr>
        <w:t>预算单位严格按照财经纪律使用特岗教师工资，不存在挤占、挪用、虚列、套取资金等行为。</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0"/>
          <w:szCs w:val="30"/>
          <w:lang w:val="en-US" w:eastAsia="zh-CN" w:bidi="ar"/>
        </w:rPr>
        <w:t>（二）</w:t>
      </w:r>
      <w:r>
        <w:rPr>
          <w:rFonts w:hint="eastAsia" w:ascii="宋体" w:hAnsi="宋体" w:eastAsia="宋体" w:cs="宋体"/>
          <w:b/>
          <w:bCs/>
          <w:kern w:val="2"/>
          <w:sz w:val="30"/>
          <w:szCs w:val="30"/>
          <w:lang w:val="en-US" w:eastAsia="zh-CN" w:bidi="ar"/>
        </w:rPr>
        <w:t>总体绩效目标完成情况分析</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贯彻执行了国家教育方针政策，深化教育改革，发展素质教育，稳固提高教育教学质量。</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0"/>
          <w:szCs w:val="30"/>
          <w:lang w:val="en-US" w:eastAsia="zh-CN" w:bidi="ar"/>
        </w:rPr>
        <w:t>（三）</w:t>
      </w:r>
      <w:r>
        <w:rPr>
          <w:rFonts w:hint="eastAsia" w:ascii="宋体" w:hAnsi="宋体" w:eastAsia="宋体" w:cs="宋体"/>
          <w:b/>
          <w:bCs/>
          <w:kern w:val="2"/>
          <w:sz w:val="30"/>
          <w:szCs w:val="30"/>
          <w:lang w:val="en-US" w:eastAsia="zh-CN" w:bidi="ar"/>
        </w:rPr>
        <w:t>绩效指标完成情况分析。</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4"/>
          <w:szCs w:val="24"/>
          <w:lang w:val="en-US" w:eastAsia="zh-CN" w:bidi="ar"/>
        </w:rPr>
        <w:t>1. </w:t>
      </w:r>
      <w:r>
        <w:rPr>
          <w:rFonts w:hint="eastAsia" w:ascii="宋体" w:hAnsi="宋体" w:eastAsia="宋体" w:cs="宋体"/>
          <w:kern w:val="2"/>
          <w:sz w:val="24"/>
          <w:szCs w:val="24"/>
          <w:lang w:val="en-US" w:eastAsia="zh-CN" w:bidi="ar"/>
        </w:rPr>
        <w:t>产出指标完成情况分析</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数量指标</w:t>
      </w:r>
    </w:p>
    <w:p>
      <w:pPr>
        <w:keepNext w:val="0"/>
        <w:keepLines w:val="0"/>
        <w:widowControl/>
        <w:suppressLineNumbers w:val="0"/>
        <w:spacing w:before="0" w:beforeAutospacing="1" w:after="0" w:afterAutospacing="1" w:line="23" w:lineRule="atLeast"/>
        <w:ind w:left="0" w:right="0" w:firstLine="480" w:firstLineChars="200"/>
        <w:jc w:val="left"/>
      </w:pPr>
      <w:r>
        <w:rPr>
          <w:rFonts w:hint="eastAsia" w:ascii="宋体" w:hAnsi="宋体" w:eastAsia="宋体" w:cs="宋体"/>
          <w:kern w:val="2"/>
          <w:sz w:val="24"/>
          <w:szCs w:val="24"/>
          <w:lang w:val="en-US" w:eastAsia="zh-CN" w:bidi="ar"/>
        </w:rPr>
        <w:t>山区津贴发放人数：</w:t>
      </w:r>
      <w:r>
        <w:rPr>
          <w:rFonts w:hint="default" w:ascii="Calibri" w:hAnsi="Calibri" w:eastAsia="宋体" w:cs="Calibri"/>
          <w:kern w:val="2"/>
          <w:sz w:val="24"/>
          <w:szCs w:val="24"/>
          <w:lang w:val="en-US" w:eastAsia="zh-CN" w:bidi="ar"/>
        </w:rPr>
        <w:t>4</w:t>
      </w:r>
      <w:r>
        <w:rPr>
          <w:rFonts w:hint="eastAsia" w:ascii="宋体" w:hAnsi="宋体" w:eastAsia="宋体" w:cs="宋体"/>
          <w:kern w:val="2"/>
          <w:sz w:val="24"/>
          <w:szCs w:val="24"/>
          <w:lang w:val="en-US" w:eastAsia="zh-CN" w:bidi="ar"/>
        </w:rPr>
        <w:t>人。</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质量指标</w:t>
      </w:r>
    </w:p>
    <w:p>
      <w:pPr>
        <w:keepNext w:val="0"/>
        <w:keepLines w:val="0"/>
        <w:widowControl/>
        <w:suppressLineNumbers w:val="0"/>
        <w:spacing w:before="0" w:beforeAutospacing="1" w:after="0" w:afterAutospacing="1" w:line="23" w:lineRule="atLeast"/>
        <w:ind w:left="0" w:right="0"/>
        <w:jc w:val="left"/>
      </w:pPr>
      <w:r>
        <w:rPr>
          <w:rFonts w:hint="eastAsia" w:ascii="宋体" w:hAnsi="宋体" w:eastAsia="宋体" w:cs="宋体"/>
          <w:kern w:val="2"/>
          <w:sz w:val="28"/>
          <w:szCs w:val="28"/>
          <w:lang w:val="en-US" w:eastAsia="zh-CN" w:bidi="ar"/>
        </w:rPr>
        <w:t>保障特岗教师生活质量，提高教师生活水平。</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时效指标</w:t>
      </w:r>
    </w:p>
    <w:p>
      <w:pPr>
        <w:keepNext w:val="0"/>
        <w:keepLines w:val="0"/>
        <w:widowControl/>
        <w:suppressLineNumbers w:val="0"/>
        <w:spacing w:before="0" w:beforeAutospacing="1" w:after="0" w:afterAutospacing="1" w:line="23" w:lineRule="atLeast"/>
        <w:ind w:left="0" w:right="0" w:firstLine="480" w:firstLineChars="200"/>
        <w:jc w:val="left"/>
      </w:pPr>
      <w:r>
        <w:rPr>
          <w:rFonts w:hint="eastAsia" w:ascii="宋体" w:hAnsi="宋体" w:eastAsia="宋体" w:cs="宋体"/>
          <w:kern w:val="2"/>
          <w:sz w:val="24"/>
          <w:szCs w:val="24"/>
          <w:lang w:val="en-US" w:eastAsia="zh-CN" w:bidi="ar"/>
        </w:rPr>
        <w:t>特岗教师工资及时发放，到位率</w:t>
      </w:r>
      <w:r>
        <w:rPr>
          <w:rFonts w:hint="default" w:ascii="Calibri" w:hAnsi="Calibri" w:eastAsia="宋体" w:cs="Calibri"/>
          <w:kern w:val="2"/>
          <w:sz w:val="24"/>
          <w:szCs w:val="24"/>
          <w:lang w:val="en-US" w:eastAsia="zh-CN" w:bidi="ar"/>
        </w:rPr>
        <w:t>100%</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4"/>
          <w:szCs w:val="24"/>
          <w:lang w:val="en-US" w:eastAsia="zh-CN" w:bidi="ar"/>
        </w:rPr>
        <w:t>2</w:t>
      </w:r>
      <w:r>
        <w:rPr>
          <w:rFonts w:hint="eastAsia" w:ascii="宋体" w:hAnsi="宋体" w:eastAsia="宋体" w:cs="宋体"/>
          <w:kern w:val="2"/>
          <w:sz w:val="24"/>
          <w:szCs w:val="24"/>
          <w:lang w:val="en-US" w:eastAsia="zh-CN" w:bidi="ar"/>
        </w:rPr>
        <w:t>、社会效益指标完成情况分析</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4"/>
          <w:szCs w:val="24"/>
          <w:lang w:val="en-US" w:eastAsia="zh-CN" w:bidi="ar"/>
        </w:rPr>
        <w:t>   </w:t>
      </w:r>
      <w:r>
        <w:rPr>
          <w:rFonts w:hint="eastAsia" w:ascii="宋体" w:hAnsi="宋体" w:eastAsia="宋体" w:cs="宋体"/>
          <w:kern w:val="2"/>
          <w:sz w:val="24"/>
          <w:szCs w:val="24"/>
          <w:lang w:val="en-US" w:eastAsia="zh-CN" w:bidi="ar"/>
        </w:rPr>
        <w:t>进一步规范办学和教育教学行为，不断满足社会对教育的需求。</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4"/>
          <w:szCs w:val="24"/>
          <w:lang w:val="en-US" w:eastAsia="zh-CN" w:bidi="ar"/>
        </w:rPr>
        <w:t>3</w:t>
      </w:r>
      <w:r>
        <w:rPr>
          <w:rFonts w:hint="eastAsia" w:ascii="宋体" w:hAnsi="宋体" w:eastAsia="宋体" w:cs="宋体"/>
          <w:kern w:val="2"/>
          <w:sz w:val="24"/>
          <w:szCs w:val="24"/>
          <w:lang w:val="en-US" w:eastAsia="zh-CN" w:bidi="ar"/>
        </w:rPr>
        <w:t>、满意度指标完成情况分析</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4"/>
          <w:szCs w:val="24"/>
          <w:lang w:val="en-US" w:eastAsia="zh-CN" w:bidi="ar"/>
        </w:rPr>
        <w:t>   </w:t>
      </w:r>
      <w:r>
        <w:rPr>
          <w:rFonts w:hint="eastAsia" w:ascii="宋体" w:hAnsi="宋体" w:eastAsia="宋体" w:cs="宋体"/>
          <w:kern w:val="2"/>
          <w:sz w:val="24"/>
          <w:szCs w:val="24"/>
          <w:lang w:val="en-US" w:eastAsia="zh-CN" w:bidi="ar"/>
        </w:rPr>
        <w:t>学校和教师满意度</w:t>
      </w:r>
      <w:r>
        <w:rPr>
          <w:rFonts w:hint="default" w:ascii="Calibri" w:hAnsi="Calibri" w:eastAsia="宋体" w:cs="Calibri"/>
          <w:kern w:val="2"/>
          <w:sz w:val="24"/>
          <w:szCs w:val="24"/>
          <w:lang w:val="en-US" w:eastAsia="zh-CN" w:bidi="ar"/>
        </w:rPr>
        <w:t>100%</w:t>
      </w:r>
      <w:r>
        <w:rPr>
          <w:rFonts w:hint="eastAsia" w:ascii="宋体" w:hAnsi="宋体" w:eastAsia="宋体" w:cs="宋体"/>
          <w:kern w:val="2"/>
          <w:sz w:val="24"/>
          <w:szCs w:val="24"/>
          <w:lang w:val="en-US" w:eastAsia="zh-CN" w:bidi="ar"/>
        </w:rPr>
        <w:t>，家长和学生满意度</w:t>
      </w:r>
      <w:r>
        <w:rPr>
          <w:rFonts w:hint="default" w:ascii="Calibri" w:hAnsi="Calibri" w:eastAsia="宋体" w:cs="Calibri"/>
          <w:kern w:val="2"/>
          <w:sz w:val="24"/>
          <w:szCs w:val="24"/>
          <w:lang w:val="en-US" w:eastAsia="zh-CN" w:bidi="ar"/>
        </w:rPr>
        <w:t>100%</w:t>
      </w:r>
      <w:r>
        <w:rPr>
          <w:rFonts w:hint="eastAsia" w:ascii="宋体" w:hAnsi="宋体" w:eastAsia="宋体" w:cs="宋体"/>
          <w:kern w:val="2"/>
          <w:sz w:val="24"/>
          <w:szCs w:val="24"/>
          <w:lang w:val="en-US" w:eastAsia="zh-CN" w:bidi="ar"/>
        </w:rPr>
        <w:t>。</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三、</w:t>
      </w:r>
      <w:r>
        <w:rPr>
          <w:rFonts w:hint="eastAsia" w:ascii="宋体" w:hAnsi="宋体" w:eastAsia="宋体" w:cs="宋体"/>
          <w:b/>
          <w:bCs/>
          <w:kern w:val="2"/>
          <w:sz w:val="32"/>
          <w:szCs w:val="32"/>
          <w:lang w:val="en-US" w:eastAsia="zh-CN" w:bidi="ar"/>
        </w:rPr>
        <w:t>偏离绩效目标的原因和下一步改进措施</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一</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主要做法</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强化资金支出审核。加强对山区津贴支出的审核管理，确保资金在足额投入的基础上进一步用好管好，充分发挥出应有的社会效益。明确相关人员责任和权限，规范支出审批流程，严格学校山区津贴支出标准和范围，杜绝了挤占、挪用、虚列、套取资金等行为。</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2</w:t>
      </w:r>
      <w:r>
        <w:rPr>
          <w:rFonts w:hint="eastAsia" w:ascii="宋体" w:hAnsi="宋体" w:eastAsia="宋体" w:cs="宋体"/>
          <w:kern w:val="2"/>
          <w:sz w:val="28"/>
          <w:szCs w:val="28"/>
          <w:lang w:val="en-US" w:eastAsia="zh-CN" w:bidi="ar"/>
        </w:rPr>
        <w:t>、加强财务人员管理，保障资金使用安全。为进一步提高中小学校财务管理水平，规范内部控制，加强廉政风险防控机制建设，规定财务人员应当为在职在编人员，具备必要的专业知识和专业技能；坚持原则，廉洁奉公</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遵守职业道德；有较强的组织能力。</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 </w:t>
      </w:r>
      <w:r>
        <w:rPr>
          <w:rFonts w:hint="default" w:ascii="Calibri" w:hAnsi="Calibri" w:eastAsia="宋体" w:cs="Calibri"/>
          <w:kern w:val="2"/>
          <w:sz w:val="28"/>
          <w:szCs w:val="28"/>
          <w:lang w:val="en-US" w:eastAsia="zh-CN" w:bidi="ar"/>
        </w:rPr>
        <w:t>3</w:t>
      </w:r>
      <w:r>
        <w:rPr>
          <w:rFonts w:hint="eastAsia" w:ascii="宋体" w:hAnsi="宋体" w:eastAsia="宋体" w:cs="宋体"/>
          <w:kern w:val="2"/>
          <w:sz w:val="28"/>
          <w:szCs w:val="28"/>
          <w:lang w:val="en-US" w:eastAsia="zh-CN" w:bidi="ar"/>
        </w:rPr>
        <w:t>、足额完成资金下拨，经费有保障。及时下拨了特岗教师工资，切实保障了特岗教师生活质量，提高了特岗教师生活水平。</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 </w:t>
      </w:r>
    </w:p>
    <w:p>
      <w:pPr>
        <w:keepNext w:val="0"/>
        <w:keepLines w:val="0"/>
        <w:widowControl/>
        <w:suppressLineNumbers w:val="0"/>
        <w:spacing w:before="0" w:beforeAutospacing="1" w:after="0" w:afterAutospacing="1" w:line="23" w:lineRule="atLeast"/>
        <w:ind w:left="0" w:right="0"/>
        <w:jc w:val="left"/>
      </w:pPr>
      <w:r>
        <w:rPr>
          <w:rFonts w:hint="eastAsia" w:ascii="宋体" w:hAnsi="宋体" w:eastAsia="宋体" w:cs="宋体"/>
          <w:kern w:val="2"/>
          <w:sz w:val="28"/>
          <w:szCs w:val="28"/>
          <w:lang w:val="en-US" w:eastAsia="zh-CN" w:bidi="ar"/>
        </w:rPr>
        <w:t>（二）存在的问题</w:t>
      </w:r>
      <w:r>
        <w:rPr>
          <w:rFonts w:hint="eastAsia" w:ascii="Calibri" w:hAnsi="Calibri"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、特岗教师工资投入需进一步加大，偏远山区学校现有的办公条件以及生活条件距离城区学校尚有较大的差距。</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2</w:t>
      </w:r>
      <w:r>
        <w:rPr>
          <w:rFonts w:hint="eastAsia" w:ascii="宋体" w:hAnsi="宋体" w:eastAsia="宋体" w:cs="宋体"/>
          <w:kern w:val="2"/>
          <w:sz w:val="28"/>
          <w:szCs w:val="28"/>
          <w:lang w:val="en-US" w:eastAsia="zh-CN" w:bidi="ar"/>
        </w:rPr>
        <w:t>、由于偏远山区生活条件较为艰辛，偏远山区教师流动性较大，使乡村教师锐减较为紧缺。</w:t>
      </w:r>
    </w:p>
    <w:p>
      <w:pPr>
        <w:keepNext w:val="0"/>
        <w:keepLines w:val="0"/>
        <w:widowControl/>
        <w:suppressLineNumbers w:val="0"/>
        <w:spacing w:before="0" w:beforeAutospacing="1" w:after="0" w:afterAutospacing="1" w:line="23" w:lineRule="atLeast"/>
        <w:ind w:left="0" w:right="0"/>
        <w:jc w:val="left"/>
      </w:pPr>
      <w:r>
        <w:rPr>
          <w:rFonts w:hint="eastAsia" w:ascii="宋体" w:hAnsi="宋体" w:eastAsia="宋体" w:cs="宋体"/>
          <w:kern w:val="2"/>
          <w:sz w:val="28"/>
          <w:szCs w:val="28"/>
          <w:lang w:val="en-US" w:eastAsia="zh-CN" w:bidi="ar"/>
        </w:rPr>
        <w:t>（三）有关建议</w:t>
      </w:r>
      <w:r>
        <w:rPr>
          <w:rFonts w:hint="eastAsia" w:ascii="Calibri" w:hAnsi="Calibri" w:eastAsia="宋体" w:cs="Times New Roman"/>
          <w:kern w:val="2"/>
          <w:sz w:val="28"/>
          <w:szCs w:val="28"/>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、提高特岗教师工资发放标准，加大特岗教师工资投入力度，用好用足国家有关教育发展的政策，积极争取资金，解决学校发展和教育投入相匹配的问题，确保教育事业优先发展。</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2</w:t>
      </w:r>
      <w:r>
        <w:rPr>
          <w:rFonts w:hint="eastAsia" w:ascii="宋体" w:hAnsi="宋体" w:eastAsia="宋体" w:cs="宋体"/>
          <w:kern w:val="2"/>
          <w:sz w:val="28"/>
          <w:szCs w:val="28"/>
          <w:lang w:val="en-US" w:eastAsia="zh-CN" w:bidi="ar"/>
        </w:rPr>
        <w:t>、要坚持勤俭办教育的方针，减少不切实际的达标评比。</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3</w:t>
      </w:r>
      <w:r>
        <w:rPr>
          <w:rFonts w:hint="eastAsia" w:ascii="宋体" w:hAnsi="宋体" w:eastAsia="宋体" w:cs="宋体"/>
          <w:kern w:val="2"/>
          <w:sz w:val="28"/>
          <w:szCs w:val="28"/>
          <w:lang w:val="en-US" w:eastAsia="zh-CN" w:bidi="ar"/>
        </w:rPr>
        <w:t>、进一步提高支出精细化管理水平。经费支出结构还不够合理，需不断加大在教育教学方面的支出，提高经费使用效益。</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四、</w:t>
      </w:r>
      <w:r>
        <w:rPr>
          <w:rFonts w:hint="eastAsia" w:ascii="宋体" w:hAnsi="宋体" w:eastAsia="宋体" w:cs="宋体"/>
          <w:b/>
          <w:bCs/>
          <w:kern w:val="2"/>
          <w:sz w:val="32"/>
          <w:szCs w:val="32"/>
          <w:lang w:val="en-US" w:eastAsia="zh-CN" w:bidi="ar"/>
        </w:rPr>
        <w:t>绩效自评结果拟应用和公开情况</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无</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五、</w:t>
      </w:r>
      <w:r>
        <w:rPr>
          <w:rFonts w:hint="eastAsia" w:ascii="宋体" w:hAnsi="宋体" w:eastAsia="宋体" w:cs="宋体"/>
          <w:b/>
          <w:bCs/>
          <w:kern w:val="2"/>
          <w:sz w:val="32"/>
          <w:szCs w:val="32"/>
          <w:lang w:val="en-US" w:eastAsia="zh-CN" w:bidi="ar"/>
        </w:rPr>
        <w:t>其他需要说明的问题</w:t>
      </w:r>
    </w:p>
    <w:p>
      <w:pPr>
        <w:keepNext w:val="0"/>
        <w:keepLines w:val="0"/>
        <w:widowControl/>
        <w:suppressLineNumbers w:val="0"/>
        <w:spacing w:before="0" w:beforeAutospacing="1" w:after="0" w:afterAutospacing="1" w:line="23" w:lineRule="atLeast"/>
        <w:ind w:left="0" w:right="0" w:firstLine="560"/>
        <w:jc w:val="left"/>
      </w:pPr>
      <w:r>
        <w:rPr>
          <w:rFonts w:hint="eastAsia" w:ascii="宋体" w:hAnsi="宋体" w:eastAsia="宋体" w:cs="宋体"/>
          <w:kern w:val="2"/>
          <w:sz w:val="28"/>
          <w:szCs w:val="28"/>
          <w:lang w:val="en-US" w:eastAsia="zh-CN" w:bidi="ar"/>
        </w:rPr>
        <w:t>无</w:t>
      </w:r>
    </w:p>
    <w:p>
      <w:pPr>
        <w:keepNext w:val="0"/>
        <w:keepLines w:val="0"/>
        <w:widowControl/>
        <w:suppressLineNumbers w:val="0"/>
        <w:spacing w:before="0" w:beforeAutospacing="1" w:after="0" w:afterAutospacing="1" w:line="23" w:lineRule="atLeast"/>
        <w:ind w:left="0" w:right="0" w:firstLine="560"/>
        <w:jc w:val="left"/>
      </w:pPr>
      <w:r>
        <w:rPr>
          <w:rFonts w:hint="default" w:ascii="Calibri" w:hAnsi="Calibri" w:eastAsia="宋体" w:cs="Times New Roman"/>
          <w:kern w:val="2"/>
          <w:sz w:val="24"/>
          <w:szCs w:val="24"/>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MjAwZjcxYjdlM2QzMmY4MjVlZDY1YzFiMzM5NDMifQ=="/>
  </w:docVars>
  <w:rsids>
    <w:rsidRoot w:val="55F151F4"/>
    <w:rsid w:val="00155699"/>
    <w:rsid w:val="00636062"/>
    <w:rsid w:val="00793F10"/>
    <w:rsid w:val="014F55D3"/>
    <w:rsid w:val="04455A98"/>
    <w:rsid w:val="04C0402A"/>
    <w:rsid w:val="05635EAE"/>
    <w:rsid w:val="05AD347A"/>
    <w:rsid w:val="07C76925"/>
    <w:rsid w:val="088A44F0"/>
    <w:rsid w:val="13A06D5E"/>
    <w:rsid w:val="13B66C21"/>
    <w:rsid w:val="1B077173"/>
    <w:rsid w:val="1B537B3D"/>
    <w:rsid w:val="20DD4416"/>
    <w:rsid w:val="22232BD7"/>
    <w:rsid w:val="2678051E"/>
    <w:rsid w:val="2E7364CB"/>
    <w:rsid w:val="2EEC5DD9"/>
    <w:rsid w:val="2F1E2411"/>
    <w:rsid w:val="2FC976DD"/>
    <w:rsid w:val="34D66A31"/>
    <w:rsid w:val="37003246"/>
    <w:rsid w:val="3FCB2ADF"/>
    <w:rsid w:val="40EA6FB7"/>
    <w:rsid w:val="42E74D31"/>
    <w:rsid w:val="449F6A8E"/>
    <w:rsid w:val="457D79CF"/>
    <w:rsid w:val="47981B16"/>
    <w:rsid w:val="4EF109CE"/>
    <w:rsid w:val="509E76AC"/>
    <w:rsid w:val="50B50B0F"/>
    <w:rsid w:val="519603F0"/>
    <w:rsid w:val="55F151F4"/>
    <w:rsid w:val="57D70F0B"/>
    <w:rsid w:val="5A102304"/>
    <w:rsid w:val="5DF82331"/>
    <w:rsid w:val="6059158F"/>
    <w:rsid w:val="65947A58"/>
    <w:rsid w:val="664D4302"/>
    <w:rsid w:val="6B3A1B4F"/>
    <w:rsid w:val="6FC36E58"/>
    <w:rsid w:val="703E0C41"/>
    <w:rsid w:val="70A5064C"/>
    <w:rsid w:val="73221F8B"/>
    <w:rsid w:val="76A575B6"/>
    <w:rsid w:val="77F44D09"/>
    <w:rsid w:val="7B605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1100</Words>
  <Characters>1125</Characters>
  <Lines>8</Lines>
  <Paragraphs>2</Paragraphs>
  <TotalTime>12</TotalTime>
  <ScaleCrop>false</ScaleCrop>
  <LinksUpToDate>false</LinksUpToDate>
  <CharactersWithSpaces>1140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2020-04-13T00:48:00Z</dcterms:created>
  <dc:creator>Administrator</dc:creator>
  <cp:lastModifiedBy>Administrator</cp:lastModifiedBy>
  <dcterms:modified xsi:type="dcterms:W3CDTF">2023-10-25T09:32:22Z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1566BDF573074A4EAB2FD50BF9A35496_13</vt:lpwstr>
  </property>
</Properties>
</file>