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55"/>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龙南经济技术开发区园区项目建设资金</w:t>
      </w:r>
      <w:r>
        <w:rPr>
          <w:rFonts w:hint="eastAsia" w:ascii="方正小标宋简体" w:hAnsi="方正小标宋简体" w:eastAsia="方正小标宋简体" w:cs="方正小标宋简体"/>
          <w:b/>
          <w:sz w:val="36"/>
          <w:szCs w:val="36"/>
        </w:rPr>
        <w:t>部门评价报告</w:t>
      </w:r>
    </w:p>
    <w:p>
      <w:pPr>
        <w:ind w:firstLine="555"/>
        <w:jc w:val="left"/>
        <w:rPr>
          <w:rFonts w:ascii="仿宋" w:hAnsi="仿宋" w:eastAsia="仿宋" w:cs="仿宋"/>
          <w:sz w:val="28"/>
          <w:szCs w:val="28"/>
        </w:rPr>
      </w:pP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一、基本情况</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（一）项目概况。包括项目背景、主要内容及实施情况、资金投入和使用情况等。</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1.项目名称：园区项目建设资金。</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2.实施情况：</w:t>
      </w:r>
      <w:r>
        <w:rPr>
          <w:rFonts w:hint="eastAsia" w:ascii="仿宋" w:hAnsi="仿宋" w:eastAsia="仿宋" w:cs="仿宋"/>
          <w:sz w:val="30"/>
          <w:szCs w:val="30"/>
          <w:lang w:eastAsia="zh-CN"/>
        </w:rPr>
        <w:t>龙南经济技术开发区管理委员会</w:t>
      </w:r>
      <w:r>
        <w:rPr>
          <w:rFonts w:hint="eastAsia" w:ascii="仿宋" w:hAnsi="仿宋" w:eastAsia="仿宋" w:cs="仿宋"/>
          <w:sz w:val="30"/>
          <w:szCs w:val="30"/>
        </w:rPr>
        <w:t>，实施时间为202</w:t>
      </w:r>
      <w:r>
        <w:rPr>
          <w:rFonts w:hint="eastAsia" w:ascii="仿宋" w:hAnsi="仿宋" w:eastAsia="仿宋" w:cs="仿宋"/>
          <w:sz w:val="30"/>
          <w:szCs w:val="30"/>
          <w:lang w:val="en-US" w:eastAsia="zh-CN"/>
        </w:rPr>
        <w:t>1</w:t>
      </w:r>
      <w:r>
        <w:rPr>
          <w:rFonts w:hint="eastAsia" w:ascii="仿宋" w:hAnsi="仿宋" w:eastAsia="仿宋" w:cs="仿宋"/>
          <w:sz w:val="30"/>
          <w:szCs w:val="30"/>
        </w:rPr>
        <w:t>年。</w:t>
      </w:r>
    </w:p>
    <w:p>
      <w:pPr>
        <w:spacing w:line="360" w:lineRule="exact"/>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rPr>
        <w:t>3.项目主要内容、涉及范围：实施一批零星工程及工程维护维修，解决园区企业提出的道路修复、危房修缮、排水沟修复、小区域土方平整等应急性事项，同时阶段性对园区环境进行整治。</w:t>
      </w:r>
      <w:r>
        <w:rPr>
          <w:rFonts w:hint="default" w:ascii="仿宋" w:hAnsi="仿宋" w:eastAsia="仿宋" w:cs="仿宋"/>
          <w:sz w:val="30"/>
          <w:szCs w:val="30"/>
        </w:rPr>
        <w:t>优化修编了赣州电子信息产业科技城、富康工业园西南片区等园区系列规划</w:t>
      </w:r>
      <w:r>
        <w:rPr>
          <w:rFonts w:hint="eastAsia" w:ascii="仿宋" w:hAnsi="仿宋" w:eastAsia="仿宋" w:cs="仿宋"/>
          <w:sz w:val="30"/>
          <w:szCs w:val="30"/>
          <w:lang w:eastAsia="zh-CN"/>
        </w:rPr>
        <w:t>。</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4.资金投入和使用情况：项目资金安排共计</w:t>
      </w:r>
      <w:r>
        <w:rPr>
          <w:rFonts w:hint="eastAsia" w:ascii="仿宋" w:hAnsi="仿宋" w:eastAsia="仿宋" w:cs="仿宋"/>
          <w:sz w:val="30"/>
          <w:szCs w:val="30"/>
          <w:lang w:val="en-US" w:eastAsia="zh-CN"/>
        </w:rPr>
        <w:t>750</w:t>
      </w:r>
      <w:r>
        <w:rPr>
          <w:rFonts w:hint="eastAsia" w:ascii="仿宋" w:hAnsi="仿宋" w:eastAsia="仿宋" w:cs="仿宋"/>
          <w:sz w:val="30"/>
          <w:szCs w:val="30"/>
        </w:rPr>
        <w:t>万元，全部为一般公共预算拨款。</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（二）项目绩效目标。包括总体目标和阶段性目标。</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全年预计执行数跟项目安排金额一致，为</w:t>
      </w:r>
      <w:r>
        <w:rPr>
          <w:rFonts w:hint="eastAsia" w:ascii="仿宋" w:hAnsi="仿宋" w:eastAsia="仿宋" w:cs="仿宋"/>
          <w:sz w:val="30"/>
          <w:szCs w:val="30"/>
          <w:lang w:val="en-US" w:eastAsia="zh-CN"/>
        </w:rPr>
        <w:t>750</w:t>
      </w:r>
      <w:r>
        <w:rPr>
          <w:rFonts w:hint="eastAsia" w:ascii="仿宋" w:hAnsi="仿宋" w:eastAsia="仿宋" w:cs="仿宋"/>
          <w:sz w:val="30"/>
          <w:szCs w:val="30"/>
        </w:rPr>
        <w:t>万元。</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二、绩效评价工作开展情况</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（一）绩效评价目的、对象和范围。</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通过实施绩效评价，客观地评判项目的管理绩效，同时将绩效评价结果与项目预算挂钩，为下年度专项资金的使用提供决策参考，进一步提高专项资金的使用效益及配置效率，实现财政资源配置效益与效率最大化。</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（二）绩效评价原则、评价指标体系（附表说明）、评价方法、评价标准等。</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1.科学规范原则——注重财政支出的经济性、效率性和有效性，严格执行规定的程序，按照科学可行的要求，采用定量与定性分析相结合的方法。</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2.公正公开原则——客观、公正，标准统一、数据资料真实可靠，公开并接受监督。</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3.绩效相关原则——针对具体支出及其产出绩效进行，评价结果能够清晰反映支出和产出绩效之间的紧密对应关系。</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4.重点核查原则——对于项目难点、热点问题，以及对支出数额大的、效益明显的项目，进行重点核查。</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5.比较法——通过对绩效目标与实施效果比较，指标制定上定量与定性相结合，优先定量，综合分析绩效目标实现程度。</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6.因素分析法——通过综合分析影响绩效目标实现、实施效果的内外因素，评价绩效目标实现程度。</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（三）绩效评价工作过程。</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按照绩效评价的原则和规范，通过对评价对象前期调研，数据采集，审查核实，按照绩效评价指标评分表逐项进行打分、分析，汇总各方评价结果，综合分析并形成评价结论。</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三、综合评价情况及评价结论（附相关评分表）</w:t>
      </w:r>
    </w:p>
    <w:p>
      <w:pPr>
        <w:spacing w:line="3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2020年</w:t>
      </w:r>
      <w:r>
        <w:rPr>
          <w:rFonts w:hint="eastAsia" w:ascii="仿宋" w:hAnsi="仿宋" w:eastAsia="仿宋" w:cs="仿宋"/>
          <w:sz w:val="30"/>
          <w:szCs w:val="30"/>
          <w:lang w:eastAsia="zh-CN"/>
        </w:rPr>
        <w:t>龙南经济技术开发区管理委员会园区项目建设资金</w:t>
      </w:r>
      <w:r>
        <w:rPr>
          <w:rFonts w:hint="eastAsia" w:ascii="仿宋" w:hAnsi="仿宋" w:eastAsia="仿宋" w:cs="仿宋"/>
          <w:sz w:val="30"/>
          <w:szCs w:val="30"/>
        </w:rPr>
        <w:t>高效利用。</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四、绩效评价指标分析</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（一）项目决策情况。</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项目决策及实施严格按照年初预算既定目标执行，遵守相关法律规定和制度，资金使用及进程合理，基本达到预期目标。</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（二）项目过程情况。</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项目目标确定、项目申报、项目执行以及资金的使用严格按照《</w:t>
      </w:r>
      <w:r>
        <w:rPr>
          <w:rFonts w:hint="eastAsia" w:ascii="仿宋" w:hAnsi="仿宋" w:eastAsia="仿宋" w:cs="仿宋"/>
          <w:sz w:val="30"/>
          <w:szCs w:val="30"/>
          <w:lang w:eastAsia="zh-CN"/>
        </w:rPr>
        <w:t>龙南市</w:t>
      </w:r>
      <w:r>
        <w:rPr>
          <w:rFonts w:hint="eastAsia" w:ascii="仿宋" w:hAnsi="仿宋" w:eastAsia="仿宋" w:cs="仿宋"/>
          <w:sz w:val="30"/>
          <w:szCs w:val="30"/>
        </w:rPr>
        <w:t>项目预算绩效管理办法》执行。</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（三）项目产出情况。</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扎实开展重大项目建设百日攻坚，实施了</w:t>
      </w:r>
      <w:r>
        <w:rPr>
          <w:rFonts w:hint="eastAsia" w:ascii="仿宋" w:hAnsi="仿宋" w:eastAsia="仿宋" w:cs="仿宋"/>
          <w:sz w:val="30"/>
          <w:szCs w:val="30"/>
          <w:lang w:val="en-US" w:eastAsia="zh-CN"/>
        </w:rPr>
        <w:t>12</w:t>
      </w:r>
      <w:bookmarkStart w:id="0" w:name="_GoBack"/>
      <w:bookmarkEnd w:id="0"/>
      <w:r>
        <w:rPr>
          <w:rFonts w:hint="eastAsia" w:ascii="仿宋" w:hAnsi="仿宋" w:eastAsia="仿宋" w:cs="仿宋"/>
          <w:sz w:val="30"/>
          <w:szCs w:val="30"/>
        </w:rPr>
        <w:t>个零星工程和维护，解决园区企业提出的道路修复、危房修缮、排水沟修复、小区域土方平整等应急性事项</w:t>
      </w:r>
      <w:r>
        <w:rPr>
          <w:rFonts w:hint="eastAsia" w:ascii="仿宋" w:hAnsi="仿宋" w:eastAsia="仿宋" w:cs="仿宋"/>
          <w:sz w:val="30"/>
          <w:szCs w:val="30"/>
          <w:lang w:eastAsia="zh-CN"/>
        </w:rPr>
        <w:t>；</w:t>
      </w:r>
      <w:r>
        <w:rPr>
          <w:rFonts w:hint="eastAsia" w:ascii="仿宋" w:hAnsi="仿宋" w:eastAsia="仿宋" w:cs="仿宋"/>
          <w:sz w:val="30"/>
          <w:szCs w:val="30"/>
        </w:rPr>
        <w:t>抓紧抓实园区环境综合整治“百日攻坚”行动，完成了富康大道、富祥大道、八纬路、志浩路与龙湾大道十字路口和柔驰企业周边等园区主干道的绿化提升，实施了富康大道、富祥大道、联茂大道、八纬路、骏亚大道、新圳大道延伸段等主干道约12公里“白改黑”工程，对志浩路与龙湾路节点、齐畅厂区对面节点、第二人民医院对面空地处节点等9个园区重要节点进行了改造提升。31家企业外立面和12家企业烟囱完成了改造，西多利、格仕乐、隆南药化等15家企业的实体墙改造成文化墙，园区品位得到了大幅提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（四）项目效益情况。</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园区企业及园区生活群众满意度达9</w:t>
      </w:r>
      <w:r>
        <w:rPr>
          <w:rFonts w:hint="eastAsia" w:ascii="仿宋" w:hAnsi="仿宋" w:eastAsia="仿宋" w:cs="仿宋"/>
          <w:sz w:val="30"/>
          <w:szCs w:val="30"/>
          <w:lang w:val="en-US" w:eastAsia="zh-CN"/>
        </w:rPr>
        <w:t>9</w:t>
      </w:r>
      <w:r>
        <w:rPr>
          <w:rFonts w:hint="eastAsia" w:ascii="仿宋" w:hAnsi="仿宋" w:eastAsia="仿宋" w:cs="仿宋"/>
          <w:sz w:val="30"/>
          <w:szCs w:val="30"/>
        </w:rPr>
        <w:t>%。</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五、主要经验及做法、存在的问题及原因分析</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无。</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六、有关建议</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无。</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七、其他需要说明的问题</w:t>
      </w:r>
    </w:p>
    <w:p>
      <w:pPr>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无。</w:t>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p>
    <w:p>
      <w:pPr>
        <w:ind w:firstLine="555"/>
        <w:jc w:val="left"/>
        <w:rPr>
          <w:rFonts w:ascii="仿宋" w:hAnsi="仿宋" w:eastAsia="仿宋" w:cs="仿宋"/>
          <w:sz w:val="30"/>
          <w:szCs w:val="30"/>
        </w:rPr>
      </w:pP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r>
        <w:rPr>
          <w:rFonts w:ascii="仿宋" w:hAnsi="仿宋" w:eastAsia="仿宋" w:cs="仿宋"/>
          <w:sz w:val="30"/>
          <w:szCs w:val="30"/>
        </w:rPr>
        <w:tab/>
      </w:r>
    </w:p>
    <w:p>
      <w:pPr>
        <w:ind w:firstLine="555"/>
        <w:jc w:val="left"/>
        <w:rPr>
          <w:rFonts w:ascii="仿宋" w:hAnsi="仿宋" w:eastAsia="仿宋" w:cs="仿宋"/>
          <w:sz w:val="28"/>
          <w:szCs w:val="28"/>
        </w:rPr>
      </w:pP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r>
        <w:rPr>
          <w:rFonts w:ascii="仿宋" w:hAnsi="仿宋" w:eastAsia="仿宋" w:cs="仿宋"/>
          <w:sz w:val="28"/>
          <w:szCs w:val="28"/>
        </w:rPr>
        <w:tab/>
      </w:r>
    </w:p>
    <w:sectPr>
      <w:pgSz w:w="11906" w:h="16838"/>
      <w:pgMar w:top="851" w:right="1134" w:bottom="851" w:left="1134" w:header="851" w:footer="992" w:gutter="0"/>
      <w:cols w:space="425" w:num="1"/>
      <w:docGrid w:type="lines"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xY2I5NmY3OTM3M2NjOWJlMWMzZGMzNzllZjZlNWIifQ=="/>
  </w:docVars>
  <w:rsids>
    <w:rsidRoot w:val="0013113B"/>
    <w:rsid w:val="00017E03"/>
    <w:rsid w:val="00083170"/>
    <w:rsid w:val="000E482F"/>
    <w:rsid w:val="000F0E4A"/>
    <w:rsid w:val="0013113B"/>
    <w:rsid w:val="001812D4"/>
    <w:rsid w:val="001C1F2B"/>
    <w:rsid w:val="0026610A"/>
    <w:rsid w:val="0038730A"/>
    <w:rsid w:val="004A1A4B"/>
    <w:rsid w:val="004C436D"/>
    <w:rsid w:val="004E5979"/>
    <w:rsid w:val="00526377"/>
    <w:rsid w:val="0075089D"/>
    <w:rsid w:val="00C15E8C"/>
    <w:rsid w:val="00C77997"/>
    <w:rsid w:val="00D01992"/>
    <w:rsid w:val="00F32784"/>
    <w:rsid w:val="00F40320"/>
    <w:rsid w:val="00F50E12"/>
    <w:rsid w:val="00F75859"/>
    <w:rsid w:val="02D2752A"/>
    <w:rsid w:val="0C631318"/>
    <w:rsid w:val="12614426"/>
    <w:rsid w:val="182B2027"/>
    <w:rsid w:val="1D155B66"/>
    <w:rsid w:val="26B34345"/>
    <w:rsid w:val="2E7E3227"/>
    <w:rsid w:val="2FBE7CB1"/>
    <w:rsid w:val="31FA5BC6"/>
    <w:rsid w:val="330B4DB4"/>
    <w:rsid w:val="33577981"/>
    <w:rsid w:val="37024FE0"/>
    <w:rsid w:val="381A520E"/>
    <w:rsid w:val="3A9D088B"/>
    <w:rsid w:val="3F5D376B"/>
    <w:rsid w:val="420D3ED3"/>
    <w:rsid w:val="435F570F"/>
    <w:rsid w:val="448434D9"/>
    <w:rsid w:val="484D0086"/>
    <w:rsid w:val="4A83134F"/>
    <w:rsid w:val="4B644192"/>
    <w:rsid w:val="520774F7"/>
    <w:rsid w:val="55FF50B5"/>
    <w:rsid w:val="56563ADF"/>
    <w:rsid w:val="59815DE1"/>
    <w:rsid w:val="59A7139A"/>
    <w:rsid w:val="5A483BEE"/>
    <w:rsid w:val="604E1113"/>
    <w:rsid w:val="6115578D"/>
    <w:rsid w:val="6A3A291B"/>
    <w:rsid w:val="6A8B7776"/>
    <w:rsid w:val="6BF31F9E"/>
    <w:rsid w:val="703E6382"/>
    <w:rsid w:val="7049066B"/>
    <w:rsid w:val="74DA0D6F"/>
    <w:rsid w:val="759A651C"/>
    <w:rsid w:val="79C97604"/>
    <w:rsid w:val="7C4A11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1420</Words>
  <Characters>1447</Characters>
  <Lines>8</Lines>
  <Paragraphs>2</Paragraphs>
  <TotalTime>0</TotalTime>
  <ScaleCrop>false</ScaleCrop>
  <LinksUpToDate>false</LinksUpToDate>
  <CharactersWithSpaces>1481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2021-07-01T07:09:00Z</dcterms:created>
  <dc:creator>Administrator</dc:creator>
  <cp:lastModifiedBy>Administrator</cp:lastModifiedBy>
  <cp:lastPrinted>2022-04-02T06:34:00Z</cp:lastPrinted>
  <dcterms:modified xsi:type="dcterms:W3CDTF">2022-08-22T08:17:27Z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274DAF7CB43A4D218090908F021A8F5B</vt:lpwstr>
  </property>
</Properties>
</file>