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540" w:lineRule="atLeast"/>
        <w:jc w:val="center"/>
      </w:pPr>
      <w:bookmarkStart w:id="0" w:name="_GoBack"/>
      <w:bookmarkEnd w:id="0"/>
      <w:r>
        <w:rPr>
          <w:rFonts w:ascii="微软雅黑" w:hAnsi="微软雅黑" w:eastAsia="微软雅黑" w:cs="微软雅黑"/>
          <w:b/>
          <w:bCs/>
          <w:kern w:val="0"/>
          <w:sz w:val="39"/>
          <w:szCs w:val="39"/>
        </w:rPr>
        <w:t>龙南市发展和改革委员会</w:t>
      </w:r>
      <w:r>
        <w:rPr>
          <w:rFonts w:hint="eastAsia" w:ascii="微软雅黑" w:hAnsi="微软雅黑" w:eastAsia="微软雅黑" w:cs="微软雅黑"/>
          <w:b/>
          <w:bCs/>
          <w:kern w:val="0"/>
          <w:sz w:val="39"/>
          <w:szCs w:val="39"/>
        </w:rPr>
        <w:t>2021年度部门整体支出绩效评价报告</w:t>
      </w:r>
    </w:p>
    <w:p>
      <w:pPr>
        <w:pStyle w:val="8"/>
        <w:keepNext w:val="0"/>
        <w:keepLines w:val="0"/>
        <w:widowControl/>
        <w:suppressLineNumbers w:val="0"/>
        <w:shd w:val="clear" w:fill="FFFFFF"/>
        <w:spacing w:before="0" w:beforeAutospacing="1" w:after="0" w:afterAutospacing="1" w:line="420" w:lineRule="atLeast"/>
        <w:ind w:left="0" w:right="0"/>
        <w:jc w:val="both"/>
      </w:pPr>
      <w:r>
        <w:rPr>
          <w:rFonts w:ascii="仿宋" w:hAnsi="仿宋" w:eastAsia="仿宋" w:cs="仿宋"/>
          <w:b/>
          <w:bCs/>
          <w:kern w:val="0"/>
          <w:sz w:val="32"/>
          <w:szCs w:val="32"/>
          <w:shd w:val="clear" w:fill="FFFFFF"/>
          <w:lang w:val="en-US" w:eastAsia="zh-CN" w:bidi="ar"/>
        </w:rPr>
        <w:t>一、部门概况</w:t>
      </w:r>
    </w:p>
    <w:p>
      <w:pPr>
        <w:pStyle w:val="8"/>
        <w:keepNext w:val="0"/>
        <w:keepLines w:val="0"/>
        <w:widowControl/>
        <w:suppressLineNumbers w:val="0"/>
        <w:shd w:val="clear" w:fill="FFFFFF"/>
        <w:spacing w:before="0" w:beforeAutospacing="1" w:after="0" w:afterAutospacing="1" w:line="420" w:lineRule="atLeast"/>
        <w:ind w:left="0" w:right="0"/>
        <w:jc w:val="both"/>
      </w:pPr>
      <w:r>
        <w:rPr>
          <w:rFonts w:hint="eastAsia" w:ascii="仿宋" w:hAnsi="仿宋" w:eastAsia="仿宋" w:cs="仿宋"/>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（一）市发改委基本情况</w:t>
      </w:r>
    </w:p>
    <w:p>
      <w:pPr>
        <w:pStyle w:val="8"/>
        <w:keepNext w:val="0"/>
        <w:keepLines w:val="0"/>
        <w:widowControl/>
        <w:suppressLineNumbers w:val="0"/>
        <w:shd w:val="clear" w:fill="FFFFFF"/>
        <w:spacing w:before="0" w:beforeAutospacing="1" w:after="0" w:afterAutospacing="1" w:line="420" w:lineRule="atLeast"/>
        <w:ind w:left="0" w:right="0" w:firstLine="630"/>
        <w:jc w:val="both"/>
      </w:pPr>
      <w:r>
        <w:rPr>
          <w:rFonts w:hint="eastAsia" w:ascii="仿宋" w:hAnsi="仿宋" w:eastAsia="仿宋" w:cs="仿宋"/>
          <w:b/>
          <w:bCs/>
          <w:kern w:val="0"/>
          <w:sz w:val="30"/>
          <w:szCs w:val="30"/>
          <w:shd w:val="clear" w:fill="FFFFFF"/>
          <w:lang w:val="en-US" w:eastAsia="zh-CN" w:bidi="ar"/>
        </w:rPr>
        <w:t>1.部门组织机构及人员</w:t>
      </w:r>
    </w:p>
    <w:p>
      <w:pPr>
        <w:keepNext w:val="0"/>
        <w:keepLines w:val="0"/>
        <w:widowControl/>
        <w:suppressLineNumbers w:val="0"/>
        <w:spacing w:before="0" w:beforeAutospacing="1" w:after="0" w:afterAutospacing="1" w:line="20" w:lineRule="atLeast"/>
        <w:ind w:left="0" w:right="0" w:firstLine="645"/>
        <w:jc w:val="left"/>
      </w:pPr>
      <w:r>
        <w:rPr>
          <w:rFonts w:hint="eastAsia" w:ascii="仿宋" w:hAnsi="仿宋" w:eastAsia="仿宋" w:cs="仿宋"/>
          <w:kern w:val="2"/>
          <w:sz w:val="32"/>
          <w:szCs w:val="32"/>
          <w:lang w:val="en-US" w:eastAsia="zh-CN" w:bidi="ar"/>
        </w:rPr>
        <w:t>市发改委共有预算单位1个，包括委本级和2个所属二级预算单位。编制人数38人，其中：行政编制13人、全部补助事业编制35人，其中：在职人数35人，包括行政人员12人、全部补助事业人员23人；退休人员21人。</w:t>
      </w:r>
    </w:p>
    <w:p>
      <w:pPr>
        <w:pStyle w:val="8"/>
        <w:keepNext w:val="0"/>
        <w:keepLines w:val="0"/>
        <w:widowControl/>
        <w:suppressLineNumbers w:val="0"/>
        <w:shd w:val="clear" w:fill="FFFFFF"/>
        <w:spacing w:before="0" w:beforeAutospacing="1" w:after="0" w:afterAutospacing="1" w:line="420" w:lineRule="atLeast"/>
        <w:ind w:left="0" w:right="0" w:firstLine="630"/>
        <w:jc w:val="both"/>
      </w:pPr>
      <w:r>
        <w:rPr>
          <w:rFonts w:hint="eastAsia" w:ascii="仿宋" w:hAnsi="仿宋" w:eastAsia="仿宋" w:cs="仿宋"/>
          <w:b/>
          <w:bCs/>
          <w:kern w:val="0"/>
          <w:sz w:val="30"/>
          <w:szCs w:val="30"/>
          <w:shd w:val="clear" w:fill="FFFFFF"/>
          <w:lang w:val="en-US" w:eastAsia="zh-CN" w:bidi="ar"/>
        </w:rPr>
        <w:t>2.部门职能概述</w:t>
      </w:r>
    </w:p>
    <w:p>
      <w:pPr>
        <w:keepNext w:val="0"/>
        <w:keepLines w:val="0"/>
        <w:widowControl/>
        <w:suppressLineNumbers w:val="0"/>
        <w:spacing w:before="0" w:beforeAutospacing="1" w:after="0" w:afterAutospacing="1"/>
        <w:ind w:left="0" w:right="0" w:firstLine="600" w:firstLineChars="200"/>
        <w:jc w:val="left"/>
      </w:pPr>
      <w:r>
        <w:rPr>
          <w:rFonts w:ascii="Calibri" w:hAnsi="Calibri" w:eastAsia="仿宋_GB2312" w:cs="Calibri"/>
          <w:kern w:val="2"/>
          <w:sz w:val="30"/>
          <w:szCs w:val="30"/>
          <w:lang w:val="en-US" w:eastAsia="zh-CN" w:bidi="ar"/>
        </w:rPr>
        <w:t>1</w:t>
      </w:r>
      <w:r>
        <w:rPr>
          <w:rFonts w:hint="eastAsia" w:ascii="仿宋_GB2312" w:hAnsi="Calibri" w:eastAsia="仿宋_GB2312" w:cs="仿宋_GB2312"/>
          <w:kern w:val="2"/>
          <w:sz w:val="30"/>
          <w:szCs w:val="30"/>
          <w:lang w:val="en-US" w:eastAsia="zh-CN" w:bidi="ar"/>
        </w:rPr>
        <w:t>、基本职能：龙南市发展和改革委员会是</w:t>
      </w:r>
      <w:r>
        <w:rPr>
          <w:rFonts w:hint="eastAsia" w:ascii="仿宋" w:hAnsi="仿宋" w:eastAsia="仿宋" w:cs="仿宋"/>
          <w:kern w:val="2"/>
          <w:sz w:val="30"/>
          <w:szCs w:val="30"/>
          <w:lang w:val="en-US" w:eastAsia="zh-CN" w:bidi="ar"/>
        </w:rPr>
        <w:t>市政府综合职能部门</w:t>
      </w:r>
      <w:r>
        <w:rPr>
          <w:rFonts w:hint="eastAsia" w:ascii="仿宋_GB2312" w:hAnsi="Calibri" w:eastAsia="仿宋_GB2312" w:cs="仿宋_GB2312"/>
          <w:kern w:val="2"/>
          <w:sz w:val="30"/>
          <w:szCs w:val="30"/>
          <w:lang w:val="en-US" w:eastAsia="zh-CN" w:bidi="ar"/>
        </w:rPr>
        <w:t>。其主要职责：</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1．贯彻执行国家和省、市的国民经济和社会发展方针、政策；研究提出全市国民经济和社会发展战略、中长期规划和年度发展计划，以及基础产业（能源、交通、通信、原材料、水利等）、信息产业、高技术产业和部门主要行业的专项发展规划；研究提出全市经济总量平衡、发展速度和结构调整的调控目标及调控政策，协调、衔接和平衡各主要行业的行业规划；受市人民政府委托向市人大提交全市国民经济和社会发展计划报告。</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2. 负责社会总需求和供给等重要经济总量的平衡和重大比例关系的协调；研究和提出生产力布局、资源开发和生态环境建设规划，促进可持续发展；负责全市地区经济协作的统筹协调，指导地区经济协作工作，促进全市经济结构合理化和区域性经济协调发展。</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3. 承担规划全市重大建设项目和生产力布局的责任，拟订全社会固定资产投资总规模和投资结构的调控目标、规章及措施，衔接平衡需要安排中央、省、市和市级财政性投资和涉及重大建设项目的专项规划；安排国家、省、市、市拨款建设项目投资计划和市重点项目建设计划，管理和协调市重点工程建设，指导和协调全市招标投标工作，组织对市重点项目建设的稽查工作；按规定权限审批、核准重大建设项目、重大外资项目；审查建设项目设计方案，核定工程概算，控制投资规模；贯彻执行国家投融资政策，指导和监督政策性贷款建设资金的使用，引导民间投资的方向；研究提出全市利用外资和境外投资的战略、规划、总量平衡和结构优化的目标和规定。</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4. 负责节能减排的综合协调和全市应对气候变化工作；组织拟订发展循环经济、全社会能源资源节约和综合利用规划及政策措施</w:t>
      </w:r>
      <w:r>
        <w:rPr>
          <w:rFonts w:hint="eastAsia" w:ascii="宋体" w:hAnsi="宋体" w:eastAsia="宋体" w:cs="宋体"/>
          <w:kern w:val="2"/>
          <w:sz w:val="30"/>
          <w:szCs w:val="30"/>
          <w:lang w:val="en-US" w:eastAsia="zh-CN" w:bidi="ar"/>
        </w:rPr>
        <w:t>并</w:t>
      </w:r>
      <w:r>
        <w:rPr>
          <w:rFonts w:hint="eastAsia" w:ascii="仿宋_GB2312" w:eastAsia="仿宋_GB2312" w:cs="仿宋_GB2312" w:hAnsiTheme="minorHAnsi"/>
          <w:kern w:val="2"/>
          <w:sz w:val="30"/>
          <w:szCs w:val="30"/>
          <w:lang w:val="en-US" w:eastAsia="zh-CN" w:bidi="ar"/>
        </w:rPr>
        <w:t>协调实施；参与编制生态建设、环境保护规划，协调生态建</w:t>
      </w:r>
      <w:r>
        <w:rPr>
          <w:rFonts w:hint="eastAsia" w:ascii="仿宋_GB2312" w:hAnsi="仿宋" w:eastAsia="仿宋_GB2312" w:cs="仿宋_GB2312"/>
          <w:kern w:val="2"/>
          <w:sz w:val="30"/>
          <w:szCs w:val="30"/>
          <w:lang w:val="en-US" w:eastAsia="zh-CN" w:bidi="ar"/>
        </w:rPr>
        <w:t>设、能源资源节约和综合利用的重大问题；综合协调环保产业和清洁生产促进有关工作。</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5. 做好科技、教育、文化、卫生、广播电视、体育、旅游、人口等社会事业以及国防建设与整个国民经济和社会发展的衔接平衡，推进重大科技成果的产业化；研究提出经济与社会协调发展、相互促进的政策，协调各项社会事业发展中的重大问题。</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6. 推进经济结构调整，组织拟订全市综合性产业政策，负责协调第一、二、三产业发展的重大问题并衔接平衡相关发展规划和重大政策，做好与全市国民经济和社会发展规划、计划的衔接平衡；协调全市农业和农村经济社会发展的重大问题，衔接农业、林业、水利等专项规划和政策；会同有关部门拟订全市服务业发展战略和重大政策，拟订现代物流业发展战略、规划，组织拟订高技术产业发展、产业技术进步的战略、规划和重大政策。</w:t>
      </w:r>
    </w:p>
    <w:p>
      <w:pPr>
        <w:keepNext w:val="0"/>
        <w:keepLines w:val="0"/>
        <w:widowControl/>
        <w:suppressLineNumbers w:val="0"/>
        <w:spacing w:before="0" w:beforeAutospacing="1" w:after="0" w:afterAutospacing="1" w:line="19" w:lineRule="atLeast"/>
        <w:ind w:left="0" w:right="0" w:firstLine="630"/>
        <w:jc w:val="left"/>
      </w:pPr>
      <w:r>
        <w:rPr>
          <w:rFonts w:hint="eastAsia" w:ascii="仿宋_GB2312" w:hAnsi="仿宋" w:eastAsia="仿宋_GB2312" w:cs="仿宋_GB2312"/>
          <w:kern w:val="2"/>
          <w:sz w:val="30"/>
          <w:szCs w:val="30"/>
          <w:lang w:val="en-US" w:eastAsia="zh-CN" w:bidi="ar"/>
        </w:rPr>
        <w:t>7.</w:t>
      </w:r>
      <w:r>
        <w:rPr>
          <w:rFonts w:hint="eastAsia" w:ascii="Calibri" w:hAnsi="Calibri" w:eastAsia="宋体" w:cs="Times New Roman"/>
          <w:kern w:val="2"/>
          <w:sz w:val="21"/>
          <w:szCs w:val="21"/>
          <w:lang w:val="en-US" w:eastAsia="zh-CN" w:bidi="ar"/>
        </w:rPr>
        <w:t> </w:t>
      </w:r>
      <w:r>
        <w:rPr>
          <w:rFonts w:hint="eastAsia" w:ascii="仿宋_GB2312" w:hAnsi="仿宋" w:eastAsia="仿宋_GB2312" w:cs="仿宋_GB2312"/>
          <w:kern w:val="2"/>
          <w:sz w:val="30"/>
          <w:szCs w:val="30"/>
          <w:lang w:val="en-US" w:eastAsia="zh-CN" w:bidi="ar"/>
        </w:rPr>
        <w:t>负责拟订能源发展规划并组织实施，组织实施国家、省市关于能源方面的规划、政策和改革方案，协调能源发展和改革中的重大问题；负责成品油(石油)、天然气、电力(含核电)、新能源和可再生能源等能源的行业规划；负责煤炭发展和改革工作，组织实施有关能源行业标准，监测能源发展情况，衔接能源生产建设和供需平衡，指导协调农村能源发展工作；负责能源行业节能和资源综合利用；按规定权限，审核规划内和年度计划规模内能源固定资产投资项目；负责能源预测预警，发布能源信息，负责监测分析能源工业运行，提出能源经济运行综合调控目标；依法管理供电营业区划分工作，负责电力需求和管理工作，协调处理电网运行中的问题，负责能源行政执法与执法监督等工作；按规定对成品油进行管理(不含成品油流通监督管理)；参与制定与能源相关的资源、财税、环保及应对气候变化等政策，提出能源价格调整建议。</w:t>
      </w:r>
    </w:p>
    <w:p>
      <w:pPr>
        <w:keepNext w:val="0"/>
        <w:keepLines w:val="0"/>
        <w:widowControl/>
        <w:suppressLineNumbers w:val="0"/>
        <w:spacing w:before="0" w:beforeAutospacing="1" w:after="0" w:afterAutospacing="1" w:line="20" w:lineRule="atLeast"/>
        <w:ind w:left="0" w:right="0" w:firstLine="600" w:firstLineChars="200"/>
        <w:jc w:val="left"/>
      </w:pPr>
      <w:r>
        <w:rPr>
          <w:rFonts w:hint="eastAsia" w:ascii="仿宋_GB2312" w:hAnsi="仿宋" w:eastAsia="仿宋_GB2312" w:cs="仿宋_GB2312"/>
          <w:kern w:val="2"/>
          <w:sz w:val="30"/>
          <w:szCs w:val="30"/>
          <w:lang w:val="en-US" w:eastAsia="zh-CN" w:bidi="ar"/>
        </w:rPr>
        <w:t>8. 承办市人民政府交办的其他工作。</w:t>
      </w:r>
    </w:p>
    <w:p>
      <w:pPr>
        <w:keepNext w:val="0"/>
        <w:keepLines w:val="0"/>
        <w:widowControl/>
        <w:suppressLineNumbers w:val="0"/>
        <w:spacing w:before="0" w:beforeAutospacing="1" w:after="0" w:afterAutospacing="1" w:line="20" w:lineRule="atLeast"/>
        <w:ind w:left="0" w:right="0" w:firstLine="645"/>
        <w:jc w:val="left"/>
      </w:pPr>
      <w:r>
        <w:rPr>
          <w:rFonts w:hint="eastAsia" w:ascii="仿宋" w:hAnsi="仿宋" w:eastAsia="仿宋" w:cs="仿宋"/>
          <w:kern w:val="2"/>
          <w:sz w:val="32"/>
          <w:szCs w:val="32"/>
          <w:lang w:val="en-US" w:eastAsia="zh-CN" w:bidi="ar"/>
        </w:rPr>
        <w:t>市发改委2021年的主要工作任务是：相关规划编制工作；争资争项和项目开发工作；重大项目建设工作；招商引资工作；政务网络保障；工程招投标管理；“三送”工作；现代服务业工作；基础设施攻坚工作等。</w:t>
      </w:r>
    </w:p>
    <w:p>
      <w:pPr>
        <w:pStyle w:val="8"/>
        <w:keepNext w:val="0"/>
        <w:keepLines w:val="0"/>
        <w:widowControl/>
        <w:suppressLineNumbers w:val="0"/>
        <w:shd w:val="clear" w:fill="FFFFFF"/>
        <w:spacing w:before="0" w:beforeAutospacing="1" w:after="0" w:afterAutospacing="1" w:line="420" w:lineRule="atLeast"/>
        <w:ind w:left="0" w:right="0"/>
        <w:jc w:val="both"/>
      </w:pPr>
      <w:r>
        <w:rPr>
          <w:rFonts w:hint="eastAsia" w:ascii="仿宋" w:hAnsi="仿宋" w:eastAsia="仿宋" w:cs="仿宋"/>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（二）部门内部管理情况</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我委</w:t>
      </w:r>
      <w:r>
        <w:rPr>
          <w:rFonts w:hint="eastAsia" w:ascii="仿宋" w:hAnsi="仿宋" w:eastAsia="仿宋" w:cs="仿宋"/>
          <w:kern w:val="0"/>
          <w:sz w:val="32"/>
          <w:szCs w:val="32"/>
          <w:shd w:val="clear" w:fill="FFFFFF"/>
          <w:lang w:val="en-US" w:eastAsia="zh-CN" w:bidi="ar"/>
        </w:rPr>
        <w:t>坚持依法行政、依法理财，规范预算编制、严格预算执行、强化预算监管，取得较好成效。一是强化制度管理。根据财政下发各项政策制定了工作规范流程，包括重大项目（资金）审批流程、专项经费安排审批流程、机关大额经费审批流程、机关经费报账流程、政府采购计划审批流程等，进一步规范了预算资金使用管理，确保了预算资金安全运行。二是强化支出管理。严格执行各项财经纪律，按预算批复额度和开支范围安排支出，合理安排预算进度确保预算资金拨付及时、均衡。三是强化监督管理。我委坚持履行位财务内审制度，对我单位预算执行和财政收支情况、财经纪律执行等进行监管，提高部门整体预算执行能力。</w:t>
      </w:r>
    </w:p>
    <w:p>
      <w:pPr>
        <w:pStyle w:val="8"/>
        <w:keepNext w:val="0"/>
        <w:keepLines w:val="0"/>
        <w:widowControl/>
        <w:suppressLineNumbers w:val="0"/>
        <w:shd w:val="clear" w:fill="FFFFFF"/>
        <w:spacing w:before="0" w:beforeAutospacing="1" w:after="0" w:afterAutospacing="1" w:line="420" w:lineRule="atLeast"/>
        <w:ind w:left="0" w:right="0"/>
        <w:jc w:val="both"/>
      </w:pPr>
      <w:r>
        <w:rPr>
          <w:rFonts w:hint="eastAsia" w:ascii="仿宋" w:hAnsi="仿宋" w:eastAsia="仿宋" w:cs="仿宋"/>
          <w:kern w:val="0"/>
          <w:sz w:val="32"/>
          <w:szCs w:val="32"/>
          <w:shd w:val="clear" w:fill="FFFFFF"/>
          <w:lang w:val="en-US" w:eastAsia="zh-CN" w:bidi="ar"/>
        </w:rPr>
        <w:t>   </w:t>
      </w:r>
      <w:r>
        <w:rPr>
          <w:rFonts w:hint="eastAsia" w:ascii="仿宋" w:hAnsi="仿宋" w:eastAsia="仿宋" w:cs="仿宋"/>
          <w:b/>
          <w:bCs/>
          <w:kern w:val="0"/>
          <w:sz w:val="32"/>
          <w:szCs w:val="32"/>
          <w:shd w:val="clear" w:fill="FFFFFF"/>
          <w:lang w:val="en-US" w:eastAsia="zh-CN" w:bidi="ar"/>
        </w:rPr>
        <w:t>（三）年度重点工作任务及完成情况</w:t>
      </w:r>
    </w:p>
    <w:p>
      <w:pPr>
        <w:keepNext w:val="0"/>
        <w:keepLines w:val="0"/>
        <w:widowControl/>
        <w:suppressLineNumbers w:val="0"/>
        <w:spacing w:before="0" w:beforeAutospacing="1" w:after="0" w:afterAutospacing="1" w:line="560" w:lineRule="exact"/>
        <w:ind w:left="0" w:right="0" w:firstLine="643" w:firstLineChars="200"/>
        <w:jc w:val="left"/>
      </w:pPr>
      <w:r>
        <w:rPr>
          <w:rFonts w:ascii="楷体_GB2312" w:hAnsi="Calibri" w:eastAsia="楷体_GB2312" w:cs="楷体_GB2312"/>
          <w:b/>
          <w:bCs/>
          <w:kern w:val="2"/>
          <w:sz w:val="32"/>
          <w:szCs w:val="32"/>
          <w:lang w:val="en-US" w:eastAsia="zh-CN" w:bidi="ar"/>
        </w:rPr>
        <w:t>（一）</w:t>
      </w:r>
      <w:r>
        <w:rPr>
          <w:rFonts w:hint="eastAsia" w:ascii="楷体_GB2312" w:hAnsi="Calibri" w:eastAsia="楷体_GB2312" w:cs="楷体_GB2312"/>
          <w:b/>
          <w:bCs/>
          <w:kern w:val="2"/>
          <w:sz w:val="32"/>
          <w:szCs w:val="32"/>
          <w:lang w:val="en-US" w:eastAsia="zh-CN" w:bidi="ar"/>
        </w:rPr>
        <w:t>坚持全面从严治党，党的建设全面加强。</w:t>
      </w:r>
      <w:r>
        <w:rPr>
          <w:rFonts w:hint="eastAsia" w:ascii="仿宋_GB2312" w:hAnsi="Calibri" w:eastAsia="仿宋_GB2312" w:cs="仿宋_GB2312"/>
          <w:kern w:val="2"/>
          <w:sz w:val="32"/>
          <w:szCs w:val="32"/>
          <w:lang w:val="en-US" w:eastAsia="zh-CN" w:bidi="ar"/>
        </w:rPr>
        <w:t>认真开展党史学习教育，</w:t>
      </w:r>
      <w:r>
        <w:rPr>
          <w:rFonts w:hint="eastAsia" w:ascii="仿宋_GB2312" w:hAnsi="宋体" w:eastAsia="仿宋_GB2312" w:cs="仿宋_GB2312"/>
          <w:color w:val="000000"/>
          <w:kern w:val="2"/>
          <w:sz w:val="32"/>
          <w:szCs w:val="32"/>
          <w:lang w:val="en-US" w:eastAsia="zh-CN" w:bidi="ar"/>
        </w:rPr>
        <w:t>成立</w:t>
      </w:r>
      <w:r>
        <w:rPr>
          <w:rFonts w:hint="eastAsia" w:ascii="仿宋_GB2312" w:hAnsi="宋体" w:eastAsia="仿宋_GB2312" w:cs="仿宋_GB2312"/>
          <w:kern w:val="2"/>
          <w:sz w:val="32"/>
          <w:szCs w:val="32"/>
          <w:lang w:val="en-US" w:eastAsia="zh-CN" w:bidi="ar"/>
        </w:rPr>
        <w:t>党史学习教育领导小组，组织集中学习和研讨流，推党党史学习教育深入人心。组织</w:t>
      </w:r>
      <w:r>
        <w:rPr>
          <w:rFonts w:hint="eastAsia" w:ascii="仿宋_GB2312" w:hAnsi="Calibri" w:eastAsia="仿宋_GB2312" w:cs="仿宋_GB2312"/>
          <w:kern w:val="2"/>
          <w:sz w:val="32"/>
          <w:szCs w:val="32"/>
          <w:lang w:val="en-US" w:eastAsia="zh-CN" w:bidi="ar"/>
        </w:rPr>
        <w:t>全体党员干部赴红色革命圣地——井冈山开展“学党史、知党情、感党恩、跟党走”党史学习教育现场教学。</w:t>
      </w:r>
      <w:r>
        <w:rPr>
          <w:rFonts w:hint="eastAsia" w:ascii="仿宋_GB2312" w:hAnsi="宋体" w:eastAsia="仿宋_GB2312" w:cs="仿宋_GB2312"/>
          <w:kern w:val="2"/>
          <w:sz w:val="32"/>
          <w:szCs w:val="32"/>
          <w:lang w:val="en-US" w:eastAsia="zh-CN" w:bidi="ar"/>
        </w:rPr>
        <w:t>坚持落实“三会一课”、组织生活会、民主评议党员、“党员活动日”等党内组织生活，努力抬升标尺线，抓好学习。每月按时提醒党员交纳</w:t>
      </w:r>
      <w:r>
        <w:rPr>
          <w:rFonts w:hint="eastAsia" w:ascii="仿宋_GB2312" w:hAnsi="Calibri" w:eastAsia="仿宋_GB2312" w:cs="仿宋_GB2312"/>
          <w:kern w:val="2"/>
          <w:sz w:val="32"/>
          <w:szCs w:val="32"/>
          <w:lang w:val="en-US" w:eastAsia="zh-CN" w:bidi="ar"/>
        </w:rPr>
        <w:t>党费。</w:t>
      </w:r>
      <w:r>
        <w:rPr>
          <w:rFonts w:hint="eastAsia" w:ascii="仿宋_GB2312" w:hAnsi="宋体" w:eastAsia="仿宋_GB2312" w:cs="仿宋_GB2312"/>
          <w:kern w:val="2"/>
          <w:sz w:val="32"/>
          <w:szCs w:val="32"/>
          <w:lang w:val="en-US" w:eastAsia="zh-CN" w:bidi="ar"/>
        </w:rPr>
        <w:t>积极做好</w:t>
      </w:r>
      <w:r>
        <w:rPr>
          <w:rFonts w:hint="eastAsia" w:ascii="仿宋_GB2312" w:hAnsi="Calibri" w:eastAsia="仿宋_GB2312" w:cs="仿宋_GB2312"/>
          <w:kern w:val="2"/>
          <w:sz w:val="32"/>
          <w:szCs w:val="32"/>
          <w:lang w:val="en-US" w:eastAsia="zh-CN" w:bidi="ar"/>
        </w:rPr>
        <w:t>发展党员，壮大党员队伍，今年共吸收4名年轻同志为预备党员并加强教育管理，吸收1名同志为入党积极分子。</w:t>
      </w:r>
      <w:r>
        <w:rPr>
          <w:rFonts w:hint="eastAsia" w:ascii="仿宋_GB2312" w:hAnsi="宋体" w:eastAsia="仿宋_GB2312" w:cs="仿宋_GB2312"/>
          <w:kern w:val="2"/>
          <w:sz w:val="32"/>
          <w:szCs w:val="32"/>
          <w:lang w:val="en-US" w:eastAsia="zh-CN" w:bidi="ar"/>
        </w:rPr>
        <w:t>严格落实意识形态工作责任制，以高度的政治自觉严格落实意识形态工作责任制，牢牢掌握意识形态的领导权主动权。时刻紧抓</w:t>
      </w:r>
      <w:r>
        <w:rPr>
          <w:rFonts w:hint="eastAsia" w:ascii="仿宋_GB2312" w:hAnsi="Calibri" w:eastAsia="仿宋_GB2312" w:cs="仿宋_GB2312"/>
          <w:kern w:val="2"/>
          <w:sz w:val="32"/>
          <w:szCs w:val="32"/>
          <w:lang w:val="en-US" w:eastAsia="zh-CN" w:bidi="ar"/>
        </w:rPr>
        <w:t>党风廉政建设，</w:t>
      </w:r>
      <w:r>
        <w:rPr>
          <w:rFonts w:hint="eastAsia" w:ascii="仿宋_GB2312" w:hAnsi="宋体" w:eastAsia="仿宋_GB2312" w:cs="仿宋_GB2312"/>
          <w:kern w:val="2"/>
          <w:sz w:val="32"/>
          <w:szCs w:val="32"/>
          <w:lang w:val="en-US" w:eastAsia="zh-CN" w:bidi="ar"/>
        </w:rPr>
        <w:t>严明纪律，常态化组织全体党员、干部学习违法违纪典型案例，强调廉洁从政。</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Calibri" w:eastAsia="楷体_GB2312" w:cs="楷体_GB2312"/>
          <w:b/>
          <w:bCs/>
          <w:kern w:val="2"/>
          <w:sz w:val="32"/>
          <w:szCs w:val="32"/>
          <w:lang w:val="en-US" w:eastAsia="zh-CN" w:bidi="ar"/>
        </w:rPr>
        <w:t>（二）坚持服务大局，谋事水平不断提升。</w:t>
      </w:r>
      <w:r>
        <w:rPr>
          <w:rFonts w:hint="eastAsia" w:ascii="仿宋_GB2312" w:hAnsi="宋体" w:eastAsia="仿宋_GB2312" w:cs="仿宋_GB2312"/>
          <w:kern w:val="2"/>
          <w:sz w:val="32"/>
          <w:szCs w:val="32"/>
          <w:lang w:val="en-US" w:eastAsia="zh-CN" w:bidi="ar"/>
        </w:rPr>
        <w:t>全力以赴北上争资，目前全市</w:t>
      </w:r>
      <w:r>
        <w:rPr>
          <w:rFonts w:hint="eastAsia" w:ascii="仿宋_GB2312" w:eastAsia="仿宋_GB2312" w:cs="仿宋_GB2312" w:hAnsiTheme="minorHAnsi"/>
          <w:kern w:val="2"/>
          <w:sz w:val="32"/>
          <w:szCs w:val="32"/>
          <w:lang w:val="en-US" w:eastAsia="zh-CN" w:bidi="ar"/>
        </w:rPr>
        <w:t>累计争取到位无偿资金13.1亿元，有偿资金42.5亿元。成功争取灾后重建和综合防灾减灾能力建设、公共卫生等医疗卫生服务体系建设工程、保障性安居工程（老旧小区改造等）等单笔超千万、上亿元项目资金。争取下达地方政府专项债券资金项目6个，发行额度7.86亿元，9个2022年专项债券项目通过省级评审。采煤沉陷区综合治理成功列入省级专项规划，龙南市对标海南自贸港政策争取工作扎实开展，争取列入2022年省大中型建设项目24个，赣州市转报省发改委省级重大项目9个，项目个数远超往年。特别是，高质量完成了《龙南市国民经济和社会发展第十四个五年规划和二〇三五年远景目标纲要》，并经市人代会审议通过，为全市今后5年经济社会发展明确了引领方向。同时，会同统计等相关部门加强对主要经济指标的监测分析，及时研究解决经济运行中出现的新情况、新问题。今年前三季度，除一般公共预算收入增速低于预期2.1个百分点外，其余主要经济指标增速均远高于年初确定的目标。</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Calibri" w:eastAsia="楷体_GB2312" w:cs="楷体_GB2312"/>
          <w:b/>
          <w:bCs/>
          <w:kern w:val="2"/>
          <w:sz w:val="32"/>
          <w:szCs w:val="32"/>
          <w:lang w:val="en-US" w:eastAsia="zh-CN" w:bidi="ar"/>
        </w:rPr>
        <w:t>（三）坚持攻坚克难，发展成效持续拓展。</w:t>
      </w:r>
      <w:r>
        <w:rPr>
          <w:rFonts w:hint="eastAsia" w:ascii="仿宋_GB2312" w:eastAsia="仿宋_GB2312" w:cs="仿宋_GB2312" w:hAnsiTheme="minorHAnsi"/>
          <w:kern w:val="2"/>
          <w:sz w:val="32"/>
          <w:szCs w:val="32"/>
          <w:lang w:val="en-US" w:eastAsia="zh-CN" w:bidi="ar"/>
        </w:rPr>
        <w:t>坚持问题导向，牵头推动开展了优化营商环境、</w:t>
      </w:r>
      <w:r>
        <w:rPr>
          <w:rFonts w:hint="eastAsia" w:ascii="仿宋_GB2312" w:hAnsi="仿宋" w:eastAsia="仿宋_GB2312" w:cs="仿宋_GB2312"/>
          <w:kern w:val="2"/>
          <w:sz w:val="32"/>
          <w:szCs w:val="32"/>
          <w:lang w:val="en-US" w:eastAsia="zh-CN" w:bidi="ar"/>
        </w:rPr>
        <w:t>对接融入粤港澳大湾区、新时代革命老区振兴发展、</w:t>
      </w:r>
      <w:r>
        <w:rPr>
          <w:rFonts w:hint="eastAsia" w:ascii="仿宋_GB2312" w:eastAsia="仿宋_GB2312" w:cs="仿宋_GB2312" w:hAnsiTheme="minorHAnsi"/>
          <w:kern w:val="2"/>
          <w:sz w:val="32"/>
          <w:szCs w:val="32"/>
          <w:lang w:val="en-US" w:eastAsia="zh-CN" w:bidi="ar"/>
        </w:rPr>
        <w:t>重大项目百日攻坚等系列重点工作，通过调研、调度有力的推动解决了一批困难和问题。营商环境位居全省前列，综合考评得分全省31名，其中部门评得分第11名；对接融入粤港澳大湾区方向、路径更加明确，体制机制更加完善，</w:t>
      </w:r>
      <w:r>
        <w:rPr>
          <w:rFonts w:hint="eastAsia" w:ascii="仿宋_GB2312" w:hAnsi="宋体" w:eastAsia="仿宋_GB2312" w:cs="仿宋_GB2312"/>
          <w:bCs/>
          <w:kern w:val="2"/>
          <w:sz w:val="32"/>
          <w:szCs w:val="32"/>
          <w:lang w:val="en-US" w:eastAsia="zh-CN" w:bidi="ar"/>
        </w:rPr>
        <w:t>龙南（东莞）产业合作园区迈出坚实步伐</w:t>
      </w:r>
      <w:r>
        <w:rPr>
          <w:rFonts w:hint="eastAsia" w:ascii="仿宋_GB2312" w:eastAsia="仿宋_GB2312" w:cs="仿宋_GB2312" w:hAnsiTheme="minorHAnsi"/>
          <w:kern w:val="2"/>
          <w:sz w:val="32"/>
          <w:szCs w:val="32"/>
          <w:lang w:val="en-US" w:eastAsia="zh-CN" w:bidi="ar"/>
        </w:rPr>
        <w:t>；新时代支持革命老区振兴发展意见落实重大平台建设及打造内陆开放型经济试验区先行区等各项工作扎实开展，推动</w:t>
      </w:r>
      <w:r>
        <w:rPr>
          <w:rFonts w:hint="eastAsia" w:ascii="仿宋_GB2312" w:hAnsi="宋体" w:eastAsia="仿宋_GB2312" w:cs="仿宋_GB2312"/>
          <w:color w:val="000000"/>
          <w:kern w:val="0"/>
          <w:sz w:val="32"/>
          <w:szCs w:val="32"/>
          <w:lang w:val="en-US" w:eastAsia="zh-CN" w:bidi="ar"/>
        </w:rPr>
        <w:t>海关总署、工信部</w:t>
      </w:r>
      <w:r>
        <w:rPr>
          <w:rFonts w:hint="eastAsia" w:ascii="仿宋_GB2312" w:eastAsia="仿宋_GB2312" w:cs="仿宋_GB2312" w:hAnsiTheme="minorHAnsi"/>
          <w:kern w:val="2"/>
          <w:sz w:val="32"/>
          <w:szCs w:val="32"/>
          <w:lang w:val="en-US" w:eastAsia="zh-CN" w:bidi="ar"/>
        </w:rPr>
        <w:t>对口支援取得明显成效；重大项目建设百日攻坚活动八个一批工作强力推进，51个重大项目百日攻坚项目全部达到时序进展要求；市本级调度的30个基础设施攻坚战项目（含前期9个）已开工19个，竣工10个；</w:t>
      </w:r>
      <w:r>
        <w:rPr>
          <w:rFonts w:hint="eastAsia" w:ascii="仿宋_GB2312" w:hAnsi="宋体" w:eastAsia="仿宋_GB2312" w:cs="仿宋_GB2312"/>
          <w:kern w:val="0"/>
          <w:sz w:val="32"/>
          <w:szCs w:val="32"/>
          <w:lang w:val="en-US" w:eastAsia="zh-CN" w:bidi="ar"/>
        </w:rPr>
        <w:t>超额完成服务业企业入规目标，已完成永宸物流、虔心小镇旅游管理有限公司等</w:t>
      </w:r>
      <w:r>
        <w:rPr>
          <w:rFonts w:hint="eastAsia" w:ascii="宋体" w:hAnsi="宋体" w:eastAsia="宋体" w:cs="宋体"/>
          <w:kern w:val="0"/>
          <w:sz w:val="32"/>
          <w:szCs w:val="32"/>
          <w:lang w:val="en-US" w:eastAsia="zh-CN" w:bidi="ar"/>
        </w:rPr>
        <w:t>2</w:t>
      </w:r>
      <w:r>
        <w:rPr>
          <w:rFonts w:hint="eastAsia" w:ascii="仿宋_GB2312" w:hAnsi="宋体" w:eastAsia="仿宋_GB2312" w:cs="仿宋_GB2312"/>
          <w:kern w:val="0"/>
          <w:sz w:val="32"/>
          <w:szCs w:val="32"/>
          <w:lang w:val="en-US" w:eastAsia="zh-CN" w:bidi="ar"/>
        </w:rPr>
        <w:t>家服务业月度入规，初步完成</w:t>
      </w:r>
      <w:r>
        <w:rPr>
          <w:rFonts w:hint="eastAsia" w:ascii="宋体" w:hAnsi="宋体" w:eastAsia="宋体" w:cs="宋体"/>
          <w:kern w:val="0"/>
          <w:sz w:val="32"/>
          <w:szCs w:val="32"/>
          <w:lang w:val="en-US" w:eastAsia="zh-CN" w:bidi="ar"/>
        </w:rPr>
        <w:t>3</w:t>
      </w:r>
      <w:r>
        <w:rPr>
          <w:rFonts w:hint="eastAsia" w:ascii="仿宋_GB2312" w:hAnsi="宋体" w:eastAsia="仿宋_GB2312" w:cs="仿宋_GB2312"/>
          <w:kern w:val="0"/>
          <w:sz w:val="32"/>
          <w:szCs w:val="32"/>
          <w:lang w:val="en-US" w:eastAsia="zh-CN" w:bidi="ar"/>
        </w:rPr>
        <w:t>家服务业企业年度入规；</w:t>
      </w:r>
      <w:r>
        <w:rPr>
          <w:rFonts w:hint="eastAsia" w:ascii="仿宋_GB2312" w:eastAsia="仿宋_GB2312" w:cs="仿宋_GB2312" w:hAnsiTheme="minorHAnsi"/>
          <w:kern w:val="2"/>
          <w:sz w:val="32"/>
          <w:szCs w:val="32"/>
          <w:lang w:val="en-US" w:eastAsia="zh-CN" w:bidi="ar"/>
        </w:rPr>
        <w:t>22项改革事项经济体制和生态文明体制改革事项已完成18项，其余4项按时序要求稳步推。</w:t>
      </w:r>
      <w:r>
        <w:rPr>
          <w:rFonts w:hint="eastAsia" w:ascii="仿宋_GB2312" w:hAnsi="宋体" w:eastAsia="仿宋_GB2312" w:cs="仿宋_GB2312"/>
          <w:kern w:val="0"/>
          <w:sz w:val="32"/>
          <w:szCs w:val="32"/>
          <w:lang w:val="en-US" w:eastAsia="zh-CN" w:bidi="ar"/>
        </w:rPr>
        <w:t>同时，</w:t>
      </w:r>
      <w:r>
        <w:rPr>
          <w:rFonts w:hint="eastAsia" w:ascii="仿宋_GB2312" w:eastAsia="仿宋_GB2312" w:cs="仿宋_GB2312" w:hAnsiTheme="minorHAnsi"/>
          <w:kern w:val="2"/>
          <w:sz w:val="32"/>
          <w:szCs w:val="32"/>
          <w:lang w:val="en-US" w:eastAsia="zh-CN" w:bidi="ar"/>
        </w:rPr>
        <w:t>市发改委牵头负责的</w:t>
      </w:r>
      <w:r>
        <w:rPr>
          <w:rFonts w:hint="eastAsia" w:ascii="仿宋_GB2312" w:hAnsi="Calibri" w:eastAsia="仿宋_GB2312" w:cs="仿宋_GB2312"/>
          <w:kern w:val="2"/>
          <w:sz w:val="32"/>
          <w:szCs w:val="32"/>
          <w:lang w:val="en-US" w:eastAsia="zh-CN" w:bidi="ar"/>
        </w:rPr>
        <w:t>省</w:t>
      </w:r>
      <w:r>
        <w:rPr>
          <w:rFonts w:hint="eastAsia" w:ascii="仿宋_GB2312" w:eastAsia="仿宋_GB2312" w:cs="仿宋_GB2312" w:hAnsiTheme="minorHAnsi"/>
          <w:kern w:val="2"/>
          <w:sz w:val="32"/>
          <w:szCs w:val="32"/>
          <w:lang w:val="en-US" w:eastAsia="zh-CN" w:bidi="ar"/>
        </w:rPr>
        <w:t>天然气管网工程总体进展良好，石灰山风电场完成全容量并网，</w:t>
      </w:r>
      <w:r>
        <w:rPr>
          <w:rFonts w:hint="eastAsia" w:ascii="仿宋_GB2312" w:hAnsi="宋体" w:eastAsia="仿宋_GB2312" w:cs="仿宋_GB2312"/>
          <w:kern w:val="0"/>
          <w:sz w:val="32"/>
          <w:szCs w:val="32"/>
          <w:lang w:val="en-US" w:eastAsia="zh-CN" w:bidi="ar"/>
        </w:rPr>
        <w:t>华屹时代加快建设。</w:t>
      </w:r>
    </w:p>
    <w:p>
      <w:pPr>
        <w:keepNext w:val="0"/>
        <w:keepLines w:val="0"/>
        <w:widowControl/>
        <w:suppressLineNumbers w:val="0"/>
        <w:spacing w:before="0" w:beforeAutospacing="1" w:after="0" w:afterAutospacing="1" w:line="560" w:lineRule="exact"/>
        <w:ind w:left="0" w:right="0" w:firstLine="643" w:firstLineChars="200"/>
        <w:jc w:val="left"/>
      </w:pPr>
      <w:r>
        <w:rPr>
          <w:rFonts w:hint="eastAsia" w:ascii="楷体_GB2312" w:hAnsi="Calibri" w:eastAsia="楷体_GB2312" w:cs="楷体_GB2312"/>
          <w:b/>
          <w:bCs/>
          <w:kern w:val="2"/>
          <w:sz w:val="32"/>
          <w:szCs w:val="32"/>
          <w:lang w:val="en-US" w:eastAsia="zh-CN" w:bidi="ar"/>
        </w:rPr>
        <w:t>（四）坚持务实干事，综合服务能力持续增强。</w:t>
      </w:r>
      <w:r>
        <w:rPr>
          <w:rFonts w:hint="eastAsia" w:ascii="仿宋_GB2312" w:eastAsia="仿宋_GB2312" w:cs="仿宋_GB2312" w:hAnsiTheme="minorHAnsi"/>
          <w:kern w:val="2"/>
          <w:sz w:val="32"/>
          <w:szCs w:val="32"/>
          <w:lang w:val="en-US" w:eastAsia="zh-CN" w:bidi="ar"/>
        </w:rPr>
        <w:t>贯彻落实行政审批提速增效要求，进一步简化企业投资项目核准备案手续，规范政府投资项目审批，建成“远程异地评标系统、不见面开标系统”，累计完成项目审批（核准、备案）358个，核准政府性投资项目招标投标方式447个、现场核实工程项目变更25次个。认真做好价格监测、收费审批工作，完成商品房销售价格备案批复34件，完成涉案物品</w:t>
      </w:r>
      <w:r>
        <w:rPr>
          <w:rFonts w:hint="eastAsia" w:ascii="仿宋_GB2312" w:hAnsi="Calibri" w:eastAsia="仿宋_GB2312" w:cs="仿宋_GB2312"/>
          <w:kern w:val="2"/>
          <w:sz w:val="32"/>
          <w:szCs w:val="32"/>
          <w:lang w:val="en-US" w:eastAsia="zh-CN" w:bidi="ar"/>
        </w:rPr>
        <w:t>价格认定63件，进一步</w:t>
      </w:r>
      <w:r>
        <w:rPr>
          <w:rFonts w:hint="eastAsia" w:ascii="仿宋_GB2312" w:eastAsia="仿宋_GB2312" w:cs="仿宋_GB2312" w:hAnsiTheme="minorHAnsi"/>
          <w:kern w:val="2"/>
          <w:sz w:val="32"/>
          <w:szCs w:val="32"/>
          <w:lang w:val="en-US" w:eastAsia="zh-CN" w:bidi="ar"/>
        </w:rPr>
        <w:t>规范</w:t>
      </w:r>
      <w:r>
        <w:rPr>
          <w:rFonts w:hint="eastAsia" w:ascii="仿宋_GB2312" w:eastAsia="仿宋_GB2312" w:cs="仿宋_GB2312" w:hAnsiTheme="minorHAnsi"/>
          <w:color w:val="000000"/>
          <w:spacing w:val="11"/>
          <w:kern w:val="2"/>
          <w:sz w:val="32"/>
          <w:szCs w:val="32"/>
          <w:lang w:val="en-US" w:eastAsia="zh-CN" w:bidi="ar"/>
        </w:rPr>
        <w:t>全市供水、供电、供气收费行为，开展停车收费管理专项整治，</w:t>
      </w:r>
      <w:r>
        <w:rPr>
          <w:rFonts w:hint="eastAsia" w:ascii="仿宋_GB2312" w:eastAsia="仿宋_GB2312" w:cs="仿宋_GB2312" w:hAnsiTheme="minorHAnsi"/>
          <w:kern w:val="2"/>
          <w:sz w:val="32"/>
          <w:szCs w:val="32"/>
          <w:lang w:val="en-US" w:eastAsia="zh-CN" w:bidi="ar"/>
        </w:rPr>
        <w:t>今年以来全市月度</w:t>
      </w:r>
      <w:r>
        <w:rPr>
          <w:rFonts w:hint="eastAsia" w:ascii="仿宋_GB2312" w:hAnsi="宋体" w:eastAsia="仿宋_GB2312" w:cs="仿宋_GB2312"/>
          <w:kern w:val="2"/>
          <w:sz w:val="32"/>
          <w:szCs w:val="32"/>
          <w:lang w:val="en-US" w:eastAsia="zh-CN" w:bidi="ar"/>
        </w:rPr>
        <w:t>居民消费水平总体平稳，</w:t>
      </w:r>
      <w:r>
        <w:rPr>
          <w:rFonts w:hint="eastAsia" w:ascii="宋体" w:hAnsi="宋体" w:eastAsia="宋体" w:cs="宋体"/>
          <w:kern w:val="2"/>
          <w:sz w:val="32"/>
          <w:szCs w:val="32"/>
          <w:lang w:val="en-US" w:eastAsia="zh-CN" w:bidi="ar"/>
        </w:rPr>
        <w:t>1-10</w:t>
      </w:r>
      <w:r>
        <w:rPr>
          <w:rFonts w:hint="eastAsia" w:ascii="仿宋_GB2312" w:hAnsi="宋体" w:eastAsia="仿宋_GB2312" w:cs="仿宋_GB2312"/>
          <w:kern w:val="2"/>
          <w:sz w:val="32"/>
          <w:szCs w:val="32"/>
          <w:lang w:val="en-US" w:eastAsia="zh-CN" w:bidi="ar"/>
        </w:rPr>
        <w:t>月居民消费价格总指数为</w:t>
      </w:r>
      <w:r>
        <w:rPr>
          <w:rFonts w:hint="eastAsia" w:ascii="宋体" w:hAnsi="宋体" w:eastAsia="宋体" w:cs="宋体"/>
          <w:kern w:val="2"/>
          <w:sz w:val="32"/>
          <w:szCs w:val="32"/>
          <w:lang w:val="en-US" w:eastAsia="zh-CN" w:bidi="ar"/>
        </w:rPr>
        <w:t>100.66</w:t>
      </w:r>
      <w:r>
        <w:rPr>
          <w:rFonts w:hint="eastAsia" w:ascii="仿宋_GB2312" w:hAnsi="宋体" w:eastAsia="仿宋_GB2312" w:cs="仿宋_GB2312"/>
          <w:kern w:val="2"/>
          <w:sz w:val="32"/>
          <w:szCs w:val="32"/>
          <w:lang w:val="en-US" w:eastAsia="zh-CN" w:bidi="ar"/>
        </w:rPr>
        <w:t>。同时，稳步</w:t>
      </w:r>
      <w:r>
        <w:rPr>
          <w:rFonts w:hint="eastAsia" w:ascii="仿宋_GB2312" w:eastAsia="仿宋_GB2312" w:cs="仿宋_GB2312" w:hAnsiTheme="minorHAnsi"/>
          <w:color w:val="000000"/>
          <w:spacing w:val="11"/>
          <w:kern w:val="2"/>
          <w:sz w:val="32"/>
          <w:szCs w:val="32"/>
          <w:lang w:val="en-US" w:eastAsia="zh-CN" w:bidi="ar"/>
        </w:rPr>
        <w:t>推进社会信用体系建设，</w:t>
      </w:r>
      <w:r>
        <w:rPr>
          <w:rFonts w:hint="eastAsia" w:ascii="仿宋_GB2312" w:hAnsi="宋体" w:eastAsia="仿宋_GB2312" w:cs="仿宋_GB2312"/>
          <w:kern w:val="2"/>
          <w:sz w:val="32"/>
          <w:szCs w:val="32"/>
          <w:lang w:val="en-US" w:eastAsia="zh-CN" w:bidi="ar"/>
        </w:rPr>
        <w:t>启动建设龙南市公共信用信息平台。</w:t>
      </w:r>
      <w:r>
        <w:rPr>
          <w:rFonts w:hint="eastAsia" w:ascii="仿宋_GB2312" w:eastAsia="仿宋_GB2312" w:cs="仿宋_GB2312" w:hAnsiTheme="minorHAnsi"/>
          <w:color w:val="000000"/>
          <w:spacing w:val="11"/>
          <w:kern w:val="2"/>
          <w:sz w:val="32"/>
          <w:szCs w:val="32"/>
          <w:lang w:val="en-US" w:eastAsia="zh-CN" w:bidi="ar"/>
        </w:rPr>
        <w:t>全面完成27户两江四岸城市更新房屋征收签约工作。扎实推动东江乡晓坑村乡村振兴与脱贫攻坚有效衔接。积极参与全国文明城市创建活动。</w:t>
      </w:r>
    </w:p>
    <w:p>
      <w:pPr>
        <w:keepNext w:val="0"/>
        <w:keepLines w:val="0"/>
        <w:widowControl/>
        <w:suppressLineNumbers w:val="0"/>
        <w:spacing w:before="0" w:beforeAutospacing="1" w:after="0" w:afterAutospacing="1" w:line="560" w:lineRule="exact"/>
        <w:ind w:left="0" w:right="0" w:firstLine="640" w:firstLineChars="200"/>
        <w:jc w:val="left"/>
      </w:pPr>
      <w:r>
        <w:rPr>
          <w:rFonts w:hint="eastAsia" w:ascii="仿宋_GB2312" w:hAnsi="宋体" w:eastAsia="仿宋_GB2312" w:cs="仿宋_GB2312"/>
          <w:kern w:val="2"/>
          <w:sz w:val="32"/>
          <w:szCs w:val="32"/>
          <w:lang w:val="en-US" w:eastAsia="zh-CN" w:bidi="ar"/>
        </w:rPr>
        <w:t>在取得上述成绩的同时，也存在一些困难和问题。主要是能耗双控形势异常严峻，能耗强度连续三个季度被预警，被赣州市缓批限批；固定资产投资增速偏低，</w:t>
      </w:r>
      <w:r>
        <w:rPr>
          <w:rFonts w:hint="eastAsia" w:ascii="仿宋_GB2312" w:eastAsia="仿宋_GB2312" w:cs="仿宋_GB2312" w:hAnsiTheme="minorHAnsi"/>
          <w:kern w:val="2"/>
          <w:sz w:val="32"/>
          <w:szCs w:val="32"/>
          <w:lang w:val="en-US" w:eastAsia="zh-CN" w:bidi="ar"/>
        </w:rPr>
        <w:t>前三季度龙南固定资产投资增速14%，在赣州市全市排名靠后（第16）。</w:t>
      </w:r>
    </w:p>
    <w:p>
      <w:pPr>
        <w:pStyle w:val="8"/>
        <w:keepNext w:val="0"/>
        <w:keepLines w:val="0"/>
        <w:widowControl/>
        <w:suppressLineNumbers w:val="0"/>
        <w:shd w:val="clear" w:fill="FFFFFF"/>
        <w:spacing w:before="0" w:beforeAutospacing="1" w:after="0" w:afterAutospacing="1" w:line="420" w:lineRule="atLeast"/>
        <w:ind w:left="0" w:right="0" w:firstLine="645"/>
        <w:jc w:val="both"/>
      </w:pPr>
      <w:r>
        <w:rPr>
          <w:rFonts w:hint="eastAsia" w:ascii="仿宋" w:hAnsi="仿宋" w:eastAsia="仿宋" w:cs="仿宋"/>
          <w:b/>
          <w:bCs/>
          <w:kern w:val="0"/>
          <w:sz w:val="32"/>
          <w:szCs w:val="32"/>
          <w:shd w:val="clear" w:fill="FFFFFF"/>
          <w:lang w:val="en-US" w:eastAsia="zh-CN" w:bidi="ar"/>
        </w:rPr>
        <w:t>二、部门整体支出管理及使用情况</w:t>
      </w:r>
    </w:p>
    <w:p>
      <w:pPr>
        <w:pStyle w:val="8"/>
        <w:keepNext w:val="0"/>
        <w:keepLines w:val="0"/>
        <w:widowControl/>
        <w:suppressLineNumbers w:val="0"/>
        <w:shd w:val="clear" w:fill="FFFFFF"/>
        <w:spacing w:before="0" w:beforeAutospacing="1" w:after="0" w:afterAutospacing="1" w:line="420" w:lineRule="atLeast"/>
        <w:ind w:left="0" w:right="0" w:firstLine="645"/>
        <w:jc w:val="both"/>
      </w:pPr>
      <w:r>
        <w:rPr>
          <w:rFonts w:hint="eastAsia" w:ascii="仿宋" w:hAnsi="仿宋" w:eastAsia="仿宋" w:cs="仿宋"/>
          <w:kern w:val="0"/>
          <w:sz w:val="32"/>
          <w:szCs w:val="32"/>
          <w:shd w:val="clear" w:fill="FFFFFF"/>
          <w:lang w:val="en-US" w:eastAsia="zh-CN" w:bidi="ar"/>
        </w:rPr>
        <w:t>（</w:t>
      </w:r>
      <w:r>
        <w:rPr>
          <w:rFonts w:hint="eastAsia" w:ascii="仿宋" w:hAnsi="仿宋" w:eastAsia="仿宋" w:cs="仿宋"/>
          <w:b/>
          <w:bCs/>
          <w:kern w:val="0"/>
          <w:sz w:val="32"/>
          <w:szCs w:val="32"/>
          <w:shd w:val="clear" w:fill="FFFFFF"/>
          <w:lang w:val="en-US" w:eastAsia="zh-CN" w:bidi="ar"/>
        </w:rPr>
        <w:t>一）基本支出情况</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市财政局年初批复龙南市发改委2021年度预算数539.03万元，年中追加预算906.52万元，年末决算数1445.55万元；当年实际完成收入1445.55万元，全部为财政拨款收入，当年实际完成支出1445.55万元（其中工资福利支出523.24万元、商品和服务支出898.78万元、对个人和家庭的补助支出23.53万元）。部门预算数与决算数的差异总额为906.52万元，差异的主要原因是人员的增减变动、工资的调整和年初无法预计的工作经费支出增加</w:t>
      </w:r>
      <w:r>
        <w:rPr>
          <w:rFonts w:hint="eastAsia" w:ascii="仿宋" w:hAnsi="仿宋" w:eastAsia="仿宋" w:cs="仿宋"/>
          <w:kern w:val="0"/>
          <w:sz w:val="32"/>
          <w:szCs w:val="32"/>
          <w:shd w:val="clear" w:fill="FFFFFF"/>
          <w:lang w:val="en-US" w:eastAsia="zh-CN" w:bidi="ar"/>
        </w:rPr>
        <w:t>。</w:t>
      </w:r>
    </w:p>
    <w:p>
      <w:pPr>
        <w:pStyle w:val="8"/>
        <w:keepNext w:val="0"/>
        <w:keepLines w:val="0"/>
        <w:widowControl/>
        <w:suppressLineNumbers w:val="0"/>
        <w:shd w:val="clear" w:fill="FFFFFF"/>
        <w:spacing w:before="0" w:beforeAutospacing="1" w:after="0" w:afterAutospacing="1" w:line="420" w:lineRule="atLeast"/>
        <w:ind w:left="0" w:right="0" w:firstLine="630"/>
        <w:jc w:val="both"/>
      </w:pPr>
      <w:r>
        <w:rPr>
          <w:rFonts w:hint="eastAsia" w:ascii="仿宋" w:hAnsi="仿宋" w:eastAsia="仿宋" w:cs="仿宋"/>
          <w:b/>
          <w:bCs/>
          <w:kern w:val="0"/>
          <w:sz w:val="32"/>
          <w:szCs w:val="32"/>
          <w:shd w:val="clear" w:fill="FFFFFF"/>
          <w:lang w:val="en-US" w:eastAsia="zh-CN" w:bidi="ar"/>
        </w:rPr>
        <w:t>（二）项目支出情况</w:t>
      </w:r>
    </w:p>
    <w:p>
      <w:pPr>
        <w:pStyle w:val="8"/>
        <w:keepNext w:val="0"/>
        <w:keepLines w:val="0"/>
        <w:widowControl/>
        <w:suppressLineNumbers w:val="0"/>
        <w:shd w:val="clear" w:fill="FFFFFF"/>
        <w:spacing w:before="0" w:beforeAutospacing="1" w:after="0" w:afterAutospacing="1" w:line="580" w:lineRule="atLeast"/>
        <w:ind w:left="0" w:right="0" w:firstLine="588"/>
        <w:jc w:val="both"/>
      </w:pPr>
      <w:r>
        <w:rPr>
          <w:rFonts w:hint="eastAsia" w:ascii="仿宋" w:hAnsi="仿宋" w:eastAsia="仿宋" w:cs="仿宋"/>
          <w:kern w:val="0"/>
          <w:sz w:val="30"/>
          <w:szCs w:val="30"/>
          <w:shd w:val="clear" w:fill="FFFFFF"/>
          <w:lang w:val="en-US" w:eastAsia="zh-CN" w:bidi="ar"/>
        </w:rPr>
        <w:t>2021年项目支出合计3227.75万元,2020年项目支出合计257.20万元,项目支出上升1254.95%,主要是</w:t>
      </w:r>
      <w:r>
        <w:rPr>
          <w:rFonts w:hint="eastAsia" w:ascii="仿宋" w:hAnsi="仿宋" w:eastAsia="仿宋" w:cs="仿宋"/>
          <w:kern w:val="0"/>
          <w:sz w:val="32"/>
          <w:szCs w:val="32"/>
          <w:shd w:val="clear" w:fill="FFFFFF"/>
          <w:lang w:val="en-US" w:eastAsia="zh-CN" w:bidi="ar"/>
        </w:rPr>
        <w:t>争资争项项目前期包装费用。</w:t>
      </w:r>
    </w:p>
    <w:p>
      <w:pPr>
        <w:pStyle w:val="8"/>
        <w:keepNext w:val="0"/>
        <w:keepLines w:val="0"/>
        <w:widowControl/>
        <w:suppressLineNumbers w:val="0"/>
        <w:shd w:val="clear" w:fill="FFFFFF"/>
        <w:spacing w:before="0" w:beforeAutospacing="1" w:after="0" w:afterAutospacing="1" w:line="420" w:lineRule="atLeast"/>
        <w:ind w:left="0" w:right="0" w:firstLine="630"/>
        <w:jc w:val="both"/>
      </w:pPr>
      <w:r>
        <w:rPr>
          <w:rFonts w:hint="eastAsia" w:ascii="仿宋" w:hAnsi="仿宋" w:eastAsia="仿宋" w:cs="仿宋"/>
          <w:b/>
          <w:bCs/>
          <w:kern w:val="0"/>
          <w:sz w:val="32"/>
          <w:szCs w:val="32"/>
          <w:shd w:val="clear" w:fill="FFFFFF"/>
          <w:lang w:val="en-US" w:eastAsia="zh-CN" w:bidi="ar"/>
        </w:rPr>
        <w:t>三、部门整体支出绩效情况</w:t>
      </w:r>
    </w:p>
    <w:p>
      <w:pPr>
        <w:pStyle w:val="8"/>
        <w:keepNext w:val="0"/>
        <w:keepLines w:val="0"/>
        <w:widowControl/>
        <w:suppressLineNumbers w:val="0"/>
        <w:shd w:val="clear" w:fill="FFFFFF"/>
        <w:spacing w:before="0" w:beforeAutospacing="1" w:after="0" w:afterAutospacing="1" w:line="420" w:lineRule="atLeast"/>
        <w:ind w:left="0" w:right="0" w:firstLine="630"/>
        <w:jc w:val="both"/>
      </w:pPr>
      <w:r>
        <w:rPr>
          <w:rFonts w:hint="eastAsia" w:ascii="仿宋" w:hAnsi="仿宋" w:eastAsia="仿宋" w:cs="仿宋"/>
          <w:b/>
          <w:bCs/>
          <w:kern w:val="0"/>
          <w:sz w:val="32"/>
          <w:szCs w:val="32"/>
          <w:shd w:val="clear" w:fill="FFFFFF"/>
          <w:lang w:val="en-US" w:eastAsia="zh-CN" w:bidi="ar"/>
        </w:rPr>
        <w:t>(一)评价得分及等级标准。</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按照《赣州市财政局关于加强预算绩效管理工作的意见》（赣市财预字〔2014〕32号）文件精神，参照财政部《部门整体支出绩效评价共性指标体系框架》制定了我委的《部门整体支出绩效评价指标体系评分表》，经我委自评，2021年整体支出绩效评价得分88分。</w:t>
      </w:r>
    </w:p>
    <w:p>
      <w:pPr>
        <w:pStyle w:val="8"/>
        <w:keepNext w:val="0"/>
        <w:keepLines w:val="0"/>
        <w:widowControl/>
        <w:suppressLineNumbers w:val="0"/>
        <w:shd w:val="clear" w:fill="FFFFFF"/>
        <w:spacing w:before="0" w:beforeAutospacing="1" w:after="0" w:afterAutospacing="1" w:line="420" w:lineRule="atLeast"/>
        <w:ind w:left="0" w:right="0" w:firstLine="642"/>
        <w:jc w:val="both"/>
      </w:pPr>
      <w:r>
        <w:rPr>
          <w:rFonts w:hint="eastAsia" w:ascii="仿宋" w:hAnsi="仿宋" w:eastAsia="仿宋" w:cs="仿宋"/>
          <w:b/>
          <w:bCs/>
          <w:kern w:val="0"/>
          <w:sz w:val="32"/>
          <w:szCs w:val="32"/>
          <w:shd w:val="clear" w:fill="FFFFFF"/>
          <w:lang w:val="en-US" w:eastAsia="zh-CN" w:bidi="ar"/>
        </w:rPr>
        <w:t>(二)部门履职及履职效益情况。</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1.预算配置控制较好。财政供养人员控制在预算编制以内，编制内在职人员控制率≦100%。</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2.预算执行比较到位。预算完成率达到100%，全年无截留或滞留专项资金情况。</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3.预算管理较为理想。制度执行总体规范，严格政府采购相关法律法规的规定，政府采购执行率达到100%。</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4.管理制度健全。进一步明确了财政预算资金审批手续和拨付程序、机关行政经费审批手续和报销程序，加强了财务管理，规范了收支行为，保证了财务管理工作规范有序进行。</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5.资金使用管理逐步加强。单位支出严格按照国家财经法规和财务管理制度规定执行，部门预算收支严格按年初部门预算方案执行，部门预决算、“三公”经费预决算按要求及时进行了公开。</w:t>
      </w:r>
    </w:p>
    <w:p>
      <w:pPr>
        <w:pStyle w:val="8"/>
        <w:keepNext w:val="0"/>
        <w:keepLines w:val="0"/>
        <w:widowControl/>
        <w:suppressLineNumbers w:val="0"/>
        <w:shd w:val="clear" w:fill="FFFFFF"/>
        <w:spacing w:before="0" w:beforeAutospacing="1" w:after="0" w:afterAutospacing="1" w:line="420" w:lineRule="atLeast"/>
        <w:ind w:left="0" w:right="0" w:firstLine="642"/>
        <w:jc w:val="both"/>
      </w:pPr>
      <w:r>
        <w:rPr>
          <w:rFonts w:hint="eastAsia" w:ascii="仿宋" w:hAnsi="仿宋" w:eastAsia="仿宋" w:cs="仿宋"/>
          <w:b/>
          <w:bCs/>
          <w:kern w:val="0"/>
          <w:sz w:val="32"/>
          <w:szCs w:val="32"/>
          <w:shd w:val="clear" w:fill="FFFFFF"/>
          <w:lang w:val="en-US" w:eastAsia="zh-CN" w:bidi="ar"/>
        </w:rPr>
        <w:t>四、存在的主要问题</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（一）预算编制工作有待细化。预算编制不够明确和细化，预算编制的合理性需要提高。预算执行力度还要进一步加强。</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（二）财务工作水平有待提高。财务缺乏创新，在精度和深度上欠缺，尤其是绩效管理工作方面还需学深悟透，强化管理。</w:t>
      </w:r>
    </w:p>
    <w:p>
      <w:pPr>
        <w:pStyle w:val="8"/>
        <w:keepNext w:val="0"/>
        <w:keepLines w:val="0"/>
        <w:widowControl/>
        <w:suppressLineNumbers w:val="0"/>
        <w:shd w:val="clear" w:fill="FFFFFF"/>
        <w:spacing w:before="0" w:beforeAutospacing="1" w:after="0" w:afterAutospacing="1" w:line="600" w:lineRule="atLeast"/>
        <w:ind w:left="0" w:right="0" w:firstLine="602"/>
        <w:jc w:val="both"/>
      </w:pPr>
      <w:r>
        <w:rPr>
          <w:rFonts w:hint="eastAsia" w:ascii="仿宋" w:hAnsi="仿宋" w:eastAsia="仿宋" w:cs="仿宋"/>
          <w:b/>
          <w:bCs/>
          <w:kern w:val="0"/>
          <w:sz w:val="30"/>
          <w:szCs w:val="30"/>
          <w:shd w:val="clear" w:fill="FFFFFF"/>
          <w:lang w:val="en-US" w:eastAsia="zh-CN" w:bidi="ar"/>
        </w:rPr>
        <w:t>五、改进措施和有关建议</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一）细化预算编制，严格预算执行。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严格预算执行，提高预算执行率。</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二）加强财务管理，严格财务审核。加强单位财务管理，健全单位财务管理制度体系，规范单位财务行为。在费用报账支付时，按照预算规定的费用项目和用途进行资金使用审核、列报支付、财务核算，杜绝超支现象的发生。</w:t>
      </w:r>
    </w:p>
    <w:p>
      <w:pPr>
        <w:pStyle w:val="8"/>
        <w:keepNext w:val="0"/>
        <w:keepLines w:val="0"/>
        <w:widowControl/>
        <w:suppressLineNumbers w:val="0"/>
        <w:shd w:val="clear" w:fill="FFFFFF"/>
        <w:spacing w:before="0" w:beforeAutospacing="1" w:after="0" w:afterAutospacing="1" w:line="600" w:lineRule="atLeast"/>
        <w:ind w:left="0" w:right="0" w:firstLine="600"/>
        <w:jc w:val="both"/>
      </w:pPr>
      <w:r>
        <w:rPr>
          <w:rFonts w:hint="eastAsia" w:ascii="仿宋" w:hAnsi="仿宋" w:eastAsia="仿宋" w:cs="仿宋"/>
          <w:kern w:val="0"/>
          <w:sz w:val="30"/>
          <w:szCs w:val="30"/>
          <w:shd w:val="clear" w:fill="FFFFFF"/>
          <w:lang w:val="en-US" w:eastAsia="zh-CN" w:bidi="ar"/>
        </w:rPr>
        <w:t>（三）完善资产管理，严格“三公”经费控制。严格编制政府采购年初预算和计划，规范各类资产的购置审批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的管理，合理压缩“三公”经费支出。</w:t>
      </w:r>
    </w:p>
    <w:p>
      <w:pPr>
        <w:keepNext w:val="0"/>
        <w:keepLines w:val="0"/>
        <w:widowControl/>
        <w:suppressLineNumbers w:val="0"/>
        <w:spacing w:before="0" w:beforeAutospacing="1" w:after="0" w:afterAutospacing="1"/>
        <w:ind w:left="0" w:right="0"/>
        <w:jc w:val="left"/>
      </w:pPr>
      <w:r>
        <w:rPr>
          <w:rFonts w:hint="eastAsia" w:ascii="仿宋" w:hAnsi="仿宋" w:eastAsia="仿宋" w:cs="仿宋"/>
          <w:kern w:val="2"/>
          <w:sz w:val="21"/>
          <w:szCs w:val="21"/>
          <w:lang w:val="en-US" w:eastAsia="zh-CN" w:bidi="ar"/>
        </w:rPr>
        <w:t> </w:t>
      </w:r>
    </w:p>
    <w:p>
      <w:pPr>
        <w:rPr>
          <w:rFonts w:ascii="仿宋" w:hAnsi="仿宋" w:eastAsia="仿宋" w:cs="仿宋"/>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12345"/>
      <w:docPartObj>
        <w:docPartGallery w:val="autotext"/>
      </w:docPartObj>
    </w:sdtPr>
    <w:sdtContent>
      <w:p>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FkZTQ4MzkyMzJkYmI4ODMzNjNkOTgzNGNhY2E3NTUifQ=="/>
  </w:docVars>
  <w:rsids>
    <w:rsidRoot w:val="01B32C08"/>
    <w:rsid w:val="000B766A"/>
    <w:rsid w:val="000C0EAF"/>
    <w:rsid w:val="000C504D"/>
    <w:rsid w:val="000C63A5"/>
    <w:rsid w:val="00101352"/>
    <w:rsid w:val="001127CD"/>
    <w:rsid w:val="0018165B"/>
    <w:rsid w:val="001A695A"/>
    <w:rsid w:val="001C52CB"/>
    <w:rsid w:val="002128DF"/>
    <w:rsid w:val="002F5B78"/>
    <w:rsid w:val="00313DD0"/>
    <w:rsid w:val="0039030D"/>
    <w:rsid w:val="003C7F27"/>
    <w:rsid w:val="004801B5"/>
    <w:rsid w:val="004B4301"/>
    <w:rsid w:val="005537BB"/>
    <w:rsid w:val="00566475"/>
    <w:rsid w:val="0057692B"/>
    <w:rsid w:val="0059608B"/>
    <w:rsid w:val="005E3481"/>
    <w:rsid w:val="005F222E"/>
    <w:rsid w:val="006434DA"/>
    <w:rsid w:val="006E511F"/>
    <w:rsid w:val="00777C15"/>
    <w:rsid w:val="007B05FE"/>
    <w:rsid w:val="007B5758"/>
    <w:rsid w:val="007D759A"/>
    <w:rsid w:val="007E0DF3"/>
    <w:rsid w:val="008357ED"/>
    <w:rsid w:val="009D6278"/>
    <w:rsid w:val="009E2689"/>
    <w:rsid w:val="00A33F32"/>
    <w:rsid w:val="00A81FB0"/>
    <w:rsid w:val="00A949D5"/>
    <w:rsid w:val="00B67A2E"/>
    <w:rsid w:val="00B74E9C"/>
    <w:rsid w:val="00C664F1"/>
    <w:rsid w:val="00C92CE6"/>
    <w:rsid w:val="00CD099A"/>
    <w:rsid w:val="00D5080F"/>
    <w:rsid w:val="00E44CB8"/>
    <w:rsid w:val="00E7122F"/>
    <w:rsid w:val="00E84647"/>
    <w:rsid w:val="00EC6899"/>
    <w:rsid w:val="00ED507B"/>
    <w:rsid w:val="00F7010B"/>
    <w:rsid w:val="00FE310A"/>
    <w:rsid w:val="00FF74BD"/>
    <w:rsid w:val="01B32C08"/>
    <w:rsid w:val="21B6461C"/>
    <w:rsid w:val="2690486A"/>
    <w:rsid w:val="4A5E2A1E"/>
    <w:rsid w:val="507A717A"/>
    <w:rsid w:val="51DC13DE"/>
    <w:rsid w:val="67CB129B"/>
    <w:rsid w:val="70C663D6"/>
    <w:rsid w:val="7E023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rPr>
      <w:rFonts w:ascii="Calibri" w:hAnsi="Calibri" w:eastAsia="仿宋"/>
      <w:sz w:val="32"/>
    </w:rPr>
  </w:style>
  <w:style w:type="paragraph" w:styleId="4">
    <w:name w:val="Body Text Indent"/>
    <w:basedOn w:val="3"/>
    <w:next w:val="3"/>
    <w:unhideWhenUsed/>
    <w:qFormat/>
    <w:uiPriority w:val="99"/>
    <w:pPr>
      <w:spacing w:after="120"/>
      <w:ind w:left="420" w:leftChars="200"/>
    </w:pPr>
  </w:style>
  <w:style w:type="paragraph" w:styleId="5">
    <w:name w:val="Balloon Text"/>
    <w:basedOn w:val="1"/>
    <w:link w:val="14"/>
    <w:uiPriority w:val="0"/>
    <w:rPr>
      <w:sz w:val="18"/>
      <w:szCs w:val="18"/>
    </w:rPr>
  </w:style>
  <w:style w:type="paragraph" w:styleId="6">
    <w:name w:val="footer"/>
    <w:basedOn w:val="1"/>
    <w:link w:val="12"/>
    <w:uiPriority w:val="99"/>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页眉 Char"/>
    <w:basedOn w:val="10"/>
    <w:link w:val="7"/>
    <w:uiPriority w:val="0"/>
    <w:rPr>
      <w:rFonts w:asciiTheme="minorHAnsi" w:hAnsiTheme="minorHAnsi" w:eastAsiaTheme="minorEastAsia" w:cstheme="minorBidi"/>
      <w:kern w:val="2"/>
      <w:sz w:val="18"/>
      <w:szCs w:val="18"/>
    </w:rPr>
  </w:style>
  <w:style w:type="character" w:customStyle="1" w:styleId="12">
    <w:name w:val="页脚 Char"/>
    <w:basedOn w:val="10"/>
    <w:link w:val="6"/>
    <w:uiPriority w:val="99"/>
    <w:rPr>
      <w:rFonts w:asciiTheme="minorHAnsi" w:hAnsiTheme="minorHAnsi" w:eastAsiaTheme="minorEastAsia" w:cstheme="minorBidi"/>
      <w:kern w:val="2"/>
      <w:sz w:val="18"/>
      <w:szCs w:val="18"/>
    </w:rPr>
  </w:style>
  <w:style w:type="character" w:customStyle="1" w:styleId="13">
    <w:name w:val="NormalCharacter"/>
    <w:qFormat/>
    <w:uiPriority w:val="0"/>
  </w:style>
  <w:style w:type="character" w:customStyle="1" w:styleId="14">
    <w:name w:val="批注框文本 Char"/>
    <w:basedOn w:val="10"/>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770</Words>
  <Characters>4390</Characters>
  <Lines>36</Lines>
  <Paragraphs>10</Paragraphs>
  <TotalTime>80</TotalTime>
  <ScaleCrop>false</ScaleCrop>
  <LinksUpToDate>false</LinksUpToDate>
  <CharactersWithSpaces>5150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2022-03-18T03:18:00Z</dcterms:created>
  <dc:creator>L·J</dc:creator>
  <cp:lastModifiedBy>白雪飘凌</cp:lastModifiedBy>
  <cp:lastPrinted>2022-03-21T01:42:00Z</cp:lastPrinted>
  <dcterms:modified xsi:type="dcterms:W3CDTF">2025-03-04T09:47:48Z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FBEA0897E59945CFB09056C9BF549ADE</vt:lpwstr>
  </property>
</Properties>
</file>