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2021年交通运输局</w:t>
      </w:r>
    </w:p>
    <w:p>
      <w:pPr>
        <w:jc w:val="center"/>
        <w:rPr>
          <w:rFonts w:hint="eastAsia"/>
          <w:b/>
          <w:bCs/>
          <w:sz w:val="44"/>
          <w:szCs w:val="44"/>
        </w:rPr>
      </w:pPr>
      <w:r>
        <w:rPr>
          <w:rFonts w:hint="eastAsia"/>
          <w:b/>
          <w:bCs/>
          <w:sz w:val="44"/>
          <w:szCs w:val="44"/>
        </w:rPr>
        <w:t>部门整体支出绩效自评报告</w:t>
      </w:r>
    </w:p>
    <w:p>
      <w:pPr>
        <w:jc w:val="center"/>
        <w:rPr>
          <w:rFonts w:hint="eastAsia"/>
          <w:b/>
          <w:bCs/>
          <w:sz w:val="44"/>
          <w:szCs w:val="44"/>
        </w:rPr>
      </w:pPr>
    </w:p>
    <w:p>
      <w:pPr>
        <w:numPr>
          <w:ilvl w:val="0"/>
          <w:numId w:val="1"/>
        </w:numPr>
        <w:snapToGrid w:val="0"/>
        <w:spacing w:beforeLines="0" w:afterLines="0" w:line="500" w:lineRule="exact"/>
        <w:ind w:left="70" w:leftChars="0" w:firstLine="560" w:firstLineChars="0"/>
        <w:rPr>
          <w:rFonts w:hint="eastAsia"/>
          <w:sz w:val="32"/>
          <w:szCs w:val="32"/>
        </w:rPr>
      </w:pPr>
      <w:r>
        <w:rPr>
          <w:rFonts w:hint="eastAsia"/>
          <w:sz w:val="32"/>
          <w:szCs w:val="32"/>
        </w:rPr>
        <w:t>部门概况</w:t>
      </w:r>
    </w:p>
    <w:p>
      <w:pPr>
        <w:numPr>
          <w:numId w:val="0"/>
        </w:numPr>
        <w:snapToGrid w:val="0"/>
        <w:spacing w:beforeLines="0" w:afterLines="0" w:line="500" w:lineRule="exact"/>
        <w:rPr>
          <w:rFonts w:hint="eastAsia" w:ascii="仿宋_GB2312" w:hAnsi="仿宋" w:eastAsia="仿宋_GB2312"/>
          <w:color w:val="auto"/>
          <w:sz w:val="30"/>
          <w:szCs w:val="30"/>
          <w:highlight w:val="none"/>
          <w:lang w:val="en-US" w:eastAsia="zh-CN"/>
        </w:rPr>
      </w:pPr>
      <w:r>
        <w:rPr>
          <w:rFonts w:hint="eastAsia"/>
          <w:sz w:val="32"/>
          <w:szCs w:val="32"/>
          <w:lang w:val="en-US" w:eastAsia="zh-CN"/>
        </w:rPr>
        <w:t xml:space="preserve">     </w:t>
      </w:r>
      <w:r>
        <w:rPr>
          <w:rFonts w:hint="eastAsia" w:ascii="仿宋_GB2312" w:hAnsi="仿宋" w:eastAsia="仿宋_GB2312"/>
          <w:b/>
          <w:bCs/>
          <w:color w:val="auto"/>
          <w:sz w:val="28"/>
          <w:szCs w:val="28"/>
          <w:highlight w:val="none"/>
        </w:rPr>
        <w:t>1．主要职能</w:t>
      </w:r>
      <w:r>
        <w:rPr>
          <w:rFonts w:hint="eastAsia" w:ascii="仿宋_GB2312" w:hAnsi="仿宋" w:eastAsia="仿宋_GB2312"/>
          <w:color w:val="auto"/>
          <w:sz w:val="28"/>
          <w:szCs w:val="28"/>
          <w:highlight w:val="none"/>
        </w:rPr>
        <w:t>。</w:t>
      </w:r>
    </w:p>
    <w:p>
      <w:pPr>
        <w:widowControl/>
        <w:spacing w:line="560" w:lineRule="exact"/>
        <w:ind w:firstLine="600" w:firstLineChars="200"/>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val="en-US" w:eastAsia="zh-CN"/>
        </w:rPr>
        <w:t>（1</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rPr>
        <w:t>贯彻执行国家、省、市、县人民政府关于交通行业的发展战略、方针政策和法律法规，拟定全县公路和水路交通行业发展战略和政策，经批准后组织实施并监督执行。</w:t>
      </w:r>
    </w:p>
    <w:p>
      <w:pPr>
        <w:widowControl/>
        <w:spacing w:line="560" w:lineRule="exact"/>
        <w:ind w:firstLine="600" w:firstLineChars="200"/>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2</w:t>
      </w:r>
      <w:r>
        <w:rPr>
          <w:rFonts w:hint="eastAsia" w:ascii="仿宋_GB2312" w:hAnsi="宋体" w:eastAsia="仿宋_GB2312" w:cs="宋体"/>
          <w:color w:val="auto"/>
          <w:kern w:val="0"/>
          <w:sz w:val="30"/>
          <w:szCs w:val="30"/>
          <w:highlight w:val="none"/>
        </w:rPr>
        <w:t>）编制全县县乡公路和水路交通行业的发展规划、中长期计划并组织实施；负责交通行业统计和信息工作。</w:t>
      </w:r>
    </w:p>
    <w:p>
      <w:pPr>
        <w:widowControl/>
        <w:spacing w:line="560" w:lineRule="exact"/>
        <w:ind w:firstLine="600" w:firstLineChars="200"/>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3</w:t>
      </w:r>
      <w:r>
        <w:rPr>
          <w:rFonts w:hint="eastAsia" w:ascii="仿宋_GB2312" w:hAnsi="宋体" w:eastAsia="仿宋_GB2312" w:cs="宋体"/>
          <w:color w:val="auto"/>
          <w:kern w:val="0"/>
          <w:sz w:val="30"/>
          <w:szCs w:val="30"/>
          <w:highlight w:val="none"/>
        </w:rPr>
        <w:t>）负责全县道路和水路旅客运输、货物运输、装卸搬运、 </w:t>
      </w:r>
      <w:r>
        <w:rPr>
          <w:rFonts w:hint="eastAsia" w:ascii="仿宋_GB2312" w:hAnsi="宋体" w:eastAsia="仿宋_GB2312" w:cs="宋体"/>
          <w:color w:val="auto"/>
          <w:kern w:val="0"/>
          <w:sz w:val="30"/>
          <w:szCs w:val="30"/>
          <w:highlight w:val="none"/>
        </w:rPr>
        <w:t>汽车维修市场、运输服务、汽车租赁、汽车综合性能检测站、汽车驾驶学校和驾驶员培训的行业管理；调控重点物资运输和紧急客货的运输;</w:t>
      </w:r>
      <w:r>
        <w:rPr>
          <w:rFonts w:hint="eastAsia" w:ascii="仿宋_GB2312" w:hAnsi="宋体" w:eastAsia="仿宋_GB2312" w:cs="宋体"/>
          <w:color w:val="auto"/>
          <w:kern w:val="0"/>
          <w:sz w:val="30"/>
          <w:szCs w:val="30"/>
          <w:highlight w:val="none"/>
        </w:rPr>
        <w:t>负责交通战备工作。</w:t>
      </w:r>
      <w:r>
        <w:rPr>
          <w:rFonts w:hint="eastAsia" w:ascii="仿宋_GB2312" w:hAnsi="宋体" w:eastAsia="仿宋_GB2312" w:cs="宋体"/>
          <w:color w:val="auto"/>
          <w:kern w:val="0"/>
          <w:sz w:val="30"/>
          <w:szCs w:val="30"/>
          <w:highlight w:val="none"/>
        </w:rPr>
        <w:br w:type="textWrapping"/>
      </w:r>
      <w:r>
        <w:rPr>
          <w:rFonts w:hint="eastAsia" w:ascii="仿宋_GB2312" w:hAnsi="宋体" w:eastAsia="仿宋_GB2312" w:cs="宋体"/>
          <w:color w:val="auto"/>
          <w:kern w:val="0"/>
          <w:sz w:val="30"/>
          <w:szCs w:val="30"/>
          <w:highlight w:val="none"/>
        </w:rPr>
        <w:t xml:space="preserve">    </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4</w:t>
      </w:r>
      <w:r>
        <w:rPr>
          <w:rFonts w:hint="eastAsia" w:ascii="仿宋_GB2312" w:hAnsi="宋体" w:eastAsia="仿宋_GB2312" w:cs="宋体"/>
          <w:color w:val="auto"/>
          <w:kern w:val="0"/>
          <w:sz w:val="30"/>
          <w:szCs w:val="30"/>
          <w:highlight w:val="none"/>
        </w:rPr>
        <w:t>）指导实施交通行业体制改革；维护公路、水路交通行业等竞争秩序；引导交通运输行业优化结构、协调发展。</w:t>
      </w:r>
      <w:r>
        <w:rPr>
          <w:rFonts w:hint="eastAsia" w:ascii="仿宋_GB2312" w:hAnsi="宋体" w:eastAsia="仿宋_GB2312" w:cs="宋体"/>
          <w:color w:val="auto"/>
          <w:kern w:val="0"/>
          <w:sz w:val="30"/>
          <w:szCs w:val="30"/>
          <w:highlight w:val="none"/>
        </w:rPr>
        <w:br w:type="textWrapping"/>
      </w:r>
      <w:r>
        <w:rPr>
          <w:rFonts w:hint="eastAsia" w:ascii="仿宋_GB2312" w:hAnsi="宋体" w:eastAsia="仿宋_GB2312" w:cs="宋体"/>
          <w:color w:val="auto"/>
          <w:kern w:val="0"/>
          <w:sz w:val="30"/>
          <w:szCs w:val="30"/>
          <w:highlight w:val="none"/>
        </w:rPr>
        <w:t xml:space="preserve">    </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5</w:t>
      </w:r>
      <w:r>
        <w:rPr>
          <w:rFonts w:hint="eastAsia" w:ascii="仿宋_GB2312" w:hAnsi="宋体" w:eastAsia="仿宋_GB2312" w:cs="宋体"/>
          <w:color w:val="auto"/>
          <w:kern w:val="0"/>
          <w:sz w:val="30"/>
          <w:szCs w:val="30"/>
          <w:highlight w:val="none"/>
        </w:rPr>
        <w:t>）负责全县县乡公路和水路交通基础设施的建设、维护和 </w:t>
      </w:r>
      <w:r>
        <w:rPr>
          <w:rFonts w:hint="eastAsia" w:ascii="仿宋_GB2312" w:hAnsi="宋体" w:eastAsia="仿宋_GB2312" w:cs="宋体"/>
          <w:color w:val="auto"/>
          <w:kern w:val="0"/>
          <w:sz w:val="30"/>
          <w:szCs w:val="30"/>
          <w:highlight w:val="none"/>
        </w:rPr>
        <w:t>管理；组织国家、省、市重点交通工程建设的实施；管理交通建设市场。</w:t>
      </w:r>
      <w:r>
        <w:rPr>
          <w:rFonts w:hint="eastAsia" w:ascii="仿宋_GB2312" w:hAnsi="宋体" w:eastAsia="仿宋_GB2312" w:cs="宋体"/>
          <w:color w:val="auto"/>
          <w:kern w:val="0"/>
          <w:sz w:val="30"/>
          <w:szCs w:val="30"/>
          <w:highlight w:val="none"/>
        </w:rPr>
        <w:br w:type="textWrapping"/>
      </w:r>
      <w:r>
        <w:rPr>
          <w:rFonts w:hint="eastAsia" w:ascii="仿宋_GB2312" w:hAnsi="宋体" w:eastAsia="仿宋_GB2312" w:cs="宋体"/>
          <w:color w:val="auto"/>
          <w:kern w:val="0"/>
          <w:sz w:val="30"/>
          <w:szCs w:val="30"/>
          <w:highlight w:val="none"/>
        </w:rPr>
        <w:t xml:space="preserve">    </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）负责全县成品油税费改革的中央转移支付资金的使用管 </w:t>
      </w:r>
      <w:r>
        <w:rPr>
          <w:rFonts w:hint="eastAsia" w:ascii="仿宋_GB2312" w:hAnsi="宋体" w:eastAsia="仿宋_GB2312" w:cs="宋体"/>
          <w:color w:val="auto"/>
          <w:kern w:val="0"/>
          <w:sz w:val="30"/>
          <w:szCs w:val="30"/>
          <w:highlight w:val="none"/>
        </w:rPr>
        <w:t>理；组织交通基础设施建设资金的筹集、使用和管理。</w:t>
      </w:r>
    </w:p>
    <w:p>
      <w:pPr>
        <w:widowControl/>
        <w:spacing w:line="560" w:lineRule="exact"/>
        <w:ind w:firstLine="600" w:firstLineChars="200"/>
        <w:rPr>
          <w:rFonts w:hint="eastAsia" w:ascii="仿宋_GB2312" w:hAnsi="宋体" w:eastAsia="仿宋_GB2312" w:cs="宋体"/>
          <w:color w:val="auto"/>
          <w:kern w:val="0"/>
          <w:sz w:val="30"/>
          <w:szCs w:val="30"/>
          <w:highlight w:val="none"/>
        </w:rPr>
      </w:pPr>
    </w:p>
    <w:p>
      <w:pPr>
        <w:widowControl/>
        <w:spacing w:line="560" w:lineRule="exact"/>
        <w:ind w:firstLine="600" w:firstLineChars="200"/>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7</w:t>
      </w:r>
      <w:r>
        <w:rPr>
          <w:rFonts w:hint="eastAsia" w:ascii="仿宋_GB2312" w:hAnsi="宋体" w:eastAsia="仿宋_GB2312" w:cs="宋体"/>
          <w:color w:val="auto"/>
          <w:kern w:val="0"/>
          <w:sz w:val="30"/>
          <w:szCs w:val="30"/>
          <w:highlight w:val="none"/>
        </w:rPr>
        <w:t>）负责全县水上交通安全监督，船舶及水上设施检验、救助、打捞、通信导航工作；负责船舶代理、航道疏浚、港口及港航设施建设使用岸线布局的行业管理。</w:t>
      </w:r>
      <w:r>
        <w:rPr>
          <w:rFonts w:hint="eastAsia" w:ascii="仿宋_GB2312" w:hAnsi="宋体" w:eastAsia="仿宋_GB2312" w:cs="宋体"/>
          <w:color w:val="auto"/>
          <w:kern w:val="0"/>
          <w:sz w:val="30"/>
          <w:szCs w:val="30"/>
          <w:highlight w:val="none"/>
        </w:rPr>
        <w:br w:type="textWrapping"/>
      </w:r>
      <w:r>
        <w:rPr>
          <w:rFonts w:hint="eastAsia" w:ascii="仿宋_GB2312" w:hAnsi="宋体" w:eastAsia="仿宋_GB2312" w:cs="宋体"/>
          <w:color w:val="auto"/>
          <w:kern w:val="0"/>
          <w:sz w:val="30"/>
          <w:szCs w:val="30"/>
          <w:highlight w:val="none"/>
        </w:rPr>
        <w:t xml:space="preserve">    </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8</w:t>
      </w:r>
      <w:r>
        <w:rPr>
          <w:rFonts w:hint="eastAsia" w:ascii="仿宋_GB2312" w:hAnsi="宋体" w:eastAsia="仿宋_GB2312" w:cs="宋体"/>
          <w:color w:val="auto"/>
          <w:kern w:val="0"/>
          <w:sz w:val="30"/>
          <w:szCs w:val="30"/>
          <w:highlight w:val="none"/>
        </w:rPr>
        <w:t>）指导实施全县县乡公路、水路、车船的技术标准管理， </w:t>
      </w:r>
      <w:r>
        <w:rPr>
          <w:rFonts w:hint="eastAsia" w:ascii="仿宋_GB2312" w:hAnsi="宋体" w:eastAsia="仿宋_GB2312" w:cs="宋体"/>
          <w:color w:val="auto"/>
          <w:kern w:val="0"/>
          <w:sz w:val="30"/>
          <w:szCs w:val="30"/>
          <w:highlight w:val="none"/>
        </w:rPr>
        <w:t>组织重大科技开发、项目攻关，推动行业科技进行；指导实施交通行业教育培训工作。</w:t>
      </w:r>
      <w:r>
        <w:rPr>
          <w:rFonts w:hint="eastAsia" w:ascii="仿宋_GB2312" w:hAnsi="宋体" w:eastAsia="仿宋_GB2312" w:cs="宋体"/>
          <w:color w:val="auto"/>
          <w:kern w:val="0"/>
          <w:sz w:val="30"/>
          <w:szCs w:val="30"/>
          <w:highlight w:val="none"/>
        </w:rPr>
        <w:br w:type="textWrapping"/>
      </w:r>
      <w:r>
        <w:rPr>
          <w:rFonts w:hint="eastAsia" w:ascii="仿宋_GB2312" w:hAnsi="宋体" w:eastAsia="仿宋_GB2312" w:cs="宋体"/>
          <w:color w:val="auto"/>
          <w:kern w:val="0"/>
          <w:sz w:val="30"/>
          <w:szCs w:val="30"/>
          <w:highlight w:val="none"/>
        </w:rPr>
        <w:t xml:space="preserve">    </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9</w:t>
      </w:r>
      <w:r>
        <w:rPr>
          <w:rFonts w:hint="eastAsia" w:ascii="仿宋_GB2312" w:hAnsi="宋体" w:eastAsia="仿宋_GB2312" w:cs="宋体"/>
          <w:color w:val="auto"/>
          <w:kern w:val="0"/>
          <w:sz w:val="30"/>
          <w:szCs w:val="30"/>
          <w:highlight w:val="none"/>
        </w:rPr>
        <w:t>）负责编制全县物流发展规划，拟订物流发展相关管理办法、措施，协调相关部门培育和规范物流市场，组织实施物流重大项目建设。</w:t>
      </w:r>
      <w:r>
        <w:rPr>
          <w:rFonts w:hint="eastAsia" w:ascii="仿宋_GB2312" w:hAnsi="宋体" w:eastAsia="仿宋_GB2312" w:cs="宋体"/>
          <w:color w:val="auto"/>
          <w:kern w:val="0"/>
          <w:sz w:val="30"/>
          <w:szCs w:val="30"/>
          <w:highlight w:val="none"/>
        </w:rPr>
        <w:br w:type="textWrapping"/>
      </w:r>
      <w:r>
        <w:rPr>
          <w:rFonts w:hint="eastAsia" w:ascii="仿宋_GB2312" w:hAnsi="宋体" w:eastAsia="仿宋_GB2312" w:cs="宋体"/>
          <w:color w:val="auto"/>
          <w:kern w:val="0"/>
          <w:sz w:val="30"/>
          <w:szCs w:val="30"/>
          <w:highlight w:val="none"/>
        </w:rPr>
        <w:t xml:space="preserve">    </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10</w:t>
      </w:r>
      <w:r>
        <w:rPr>
          <w:rFonts w:hint="eastAsia" w:ascii="仿宋_GB2312" w:hAnsi="宋体" w:eastAsia="仿宋_GB2312" w:cs="宋体"/>
          <w:color w:val="auto"/>
          <w:kern w:val="0"/>
          <w:sz w:val="30"/>
          <w:szCs w:val="30"/>
          <w:highlight w:val="none"/>
        </w:rPr>
        <w:t>）负责交通行业的涉外工作，指导实施利用外资、技术和 </w:t>
      </w:r>
      <w:r>
        <w:rPr>
          <w:rFonts w:hint="eastAsia" w:ascii="仿宋_GB2312" w:hAnsi="宋体" w:eastAsia="仿宋_GB2312" w:cs="宋体"/>
          <w:color w:val="auto"/>
          <w:kern w:val="0"/>
          <w:sz w:val="30"/>
          <w:szCs w:val="30"/>
          <w:highlight w:val="none"/>
        </w:rPr>
        <w:t>开展国际交通经济技术合作与交流。</w:t>
      </w:r>
      <w:r>
        <w:rPr>
          <w:rFonts w:hint="eastAsia" w:ascii="仿宋_GB2312" w:hAnsi="宋体" w:eastAsia="仿宋_GB2312" w:cs="宋体"/>
          <w:color w:val="auto"/>
          <w:kern w:val="0"/>
          <w:sz w:val="30"/>
          <w:szCs w:val="30"/>
          <w:highlight w:val="none"/>
        </w:rPr>
        <w:br w:type="textWrapping"/>
      </w:r>
      <w:r>
        <w:rPr>
          <w:rFonts w:hint="eastAsia" w:ascii="仿宋_GB2312" w:hAnsi="宋体" w:eastAsia="仿宋_GB2312" w:cs="宋体"/>
          <w:color w:val="auto"/>
          <w:kern w:val="0"/>
          <w:sz w:val="30"/>
          <w:szCs w:val="30"/>
          <w:highlight w:val="none"/>
        </w:rPr>
        <w:t xml:space="preserve">    </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11</w:t>
      </w:r>
      <w:r>
        <w:rPr>
          <w:rFonts w:hint="eastAsia" w:ascii="仿宋_GB2312" w:hAnsi="宋体" w:eastAsia="仿宋_GB2312" w:cs="宋体"/>
          <w:color w:val="auto"/>
          <w:kern w:val="0"/>
          <w:sz w:val="30"/>
          <w:szCs w:val="30"/>
          <w:highlight w:val="none"/>
        </w:rPr>
        <w:t>）承办县人民政府交办的其他工作。</w:t>
      </w:r>
    </w:p>
    <w:p>
      <w:pPr>
        <w:widowControl/>
        <w:spacing w:line="560" w:lineRule="exact"/>
        <w:ind w:firstLine="600" w:firstLineChars="200"/>
        <w:rPr>
          <w:rFonts w:hint="eastAsia" w:ascii="仿宋_GB2312" w:hAnsi="宋体" w:eastAsia="仿宋_GB2312" w:cs="宋体"/>
          <w:color w:val="auto"/>
          <w:kern w:val="0"/>
          <w:sz w:val="30"/>
          <w:szCs w:val="30"/>
          <w:highlight w:val="none"/>
        </w:rPr>
      </w:pPr>
    </w:p>
    <w:p>
      <w:pPr>
        <w:widowControl/>
        <w:spacing w:line="560" w:lineRule="exact"/>
        <w:ind w:firstLine="600" w:firstLineChars="200"/>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机构情况，包括当年变动情况及原因。</w:t>
      </w:r>
    </w:p>
    <w:p>
      <w:pPr>
        <w:widowControl/>
        <w:spacing w:line="560" w:lineRule="exact"/>
        <w:ind w:firstLine="600" w:firstLineChars="200"/>
        <w:rPr>
          <w:rFonts w:hint="eastAsia" w:ascii="仿宋_GB2312" w:hAnsi="宋体" w:eastAsia="仿宋_GB2312" w:cs="宋体"/>
          <w:color w:val="auto"/>
          <w:kern w:val="0"/>
          <w:sz w:val="30"/>
          <w:szCs w:val="30"/>
          <w:highlight w:val="none"/>
          <w:lang w:eastAsia="zh-CN"/>
        </w:rPr>
      </w:pPr>
      <w:r>
        <w:rPr>
          <w:rFonts w:hint="eastAsia" w:ascii="仿宋_GB2312" w:hAnsi="宋体" w:eastAsia="仿宋_GB2312" w:cs="宋体"/>
          <w:color w:val="auto"/>
          <w:kern w:val="0"/>
          <w:sz w:val="30"/>
          <w:szCs w:val="30"/>
          <w:highlight w:val="none"/>
          <w:lang w:eastAsia="zh-CN"/>
        </w:rPr>
        <w:tab/>
      </w:r>
      <w:r>
        <w:rPr>
          <w:rFonts w:hint="eastAsia" w:ascii="仿宋_GB2312" w:hAnsi="宋体" w:eastAsia="仿宋_GB2312" w:cs="宋体"/>
          <w:color w:val="auto"/>
          <w:kern w:val="0"/>
          <w:sz w:val="30"/>
          <w:szCs w:val="30"/>
          <w:highlight w:val="none"/>
        </w:rPr>
        <w:t>纳入本套部门决算汇编范围的单位共 1个。</w:t>
      </w:r>
    </w:p>
    <w:p>
      <w:pPr>
        <w:widowControl/>
        <w:spacing w:line="560" w:lineRule="exact"/>
        <w:ind w:firstLine="600" w:firstLineChars="200"/>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人员情况，包括当年变动情况及原因。</w:t>
      </w:r>
    </w:p>
    <w:p>
      <w:pPr>
        <w:widowControl/>
        <w:spacing w:line="560" w:lineRule="exact"/>
        <w:ind w:firstLine="600" w:firstLineChars="200"/>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本部门20</w:t>
      </w:r>
      <w:r>
        <w:rPr>
          <w:rFonts w:hint="eastAsia" w:ascii="仿宋_GB2312" w:hAnsi="宋体" w:eastAsia="仿宋_GB2312" w:cs="宋体"/>
          <w:color w:val="auto"/>
          <w:kern w:val="0"/>
          <w:sz w:val="30"/>
          <w:szCs w:val="30"/>
          <w:highlight w:val="none"/>
          <w:lang w:val="en-US" w:eastAsia="zh-CN"/>
        </w:rPr>
        <w:t>21</w:t>
      </w:r>
      <w:r>
        <w:rPr>
          <w:rFonts w:hint="eastAsia" w:ascii="仿宋_GB2312" w:hAnsi="宋体" w:eastAsia="仿宋_GB2312" w:cs="宋体"/>
          <w:color w:val="auto"/>
          <w:kern w:val="0"/>
          <w:sz w:val="30"/>
          <w:szCs w:val="30"/>
          <w:highlight w:val="none"/>
        </w:rPr>
        <w:t xml:space="preserve">年年末编制人数 </w:t>
      </w:r>
      <w:r>
        <w:rPr>
          <w:rFonts w:hint="eastAsia" w:ascii="仿宋_GB2312" w:hAnsi="宋体" w:eastAsia="仿宋_GB2312" w:cs="宋体"/>
          <w:color w:val="auto"/>
          <w:kern w:val="0"/>
          <w:sz w:val="30"/>
          <w:szCs w:val="30"/>
          <w:highlight w:val="none"/>
          <w:lang w:val="en-US" w:eastAsia="zh-CN"/>
        </w:rPr>
        <w:t>56</w:t>
      </w:r>
      <w:r>
        <w:rPr>
          <w:rFonts w:hint="eastAsia" w:ascii="仿宋_GB2312" w:hAnsi="宋体" w:eastAsia="仿宋_GB2312" w:cs="宋体"/>
          <w:color w:val="auto"/>
          <w:kern w:val="0"/>
          <w:sz w:val="30"/>
          <w:szCs w:val="30"/>
          <w:highlight w:val="none"/>
        </w:rPr>
        <w:t xml:space="preserve"> 人，其中行政编制 </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人，事业编制</w:t>
      </w:r>
      <w:r>
        <w:rPr>
          <w:rFonts w:hint="eastAsia" w:ascii="仿宋_GB2312" w:hAnsi="宋体" w:eastAsia="仿宋_GB2312" w:cs="宋体"/>
          <w:color w:val="auto"/>
          <w:kern w:val="0"/>
          <w:sz w:val="30"/>
          <w:szCs w:val="30"/>
          <w:highlight w:val="none"/>
          <w:lang w:val="en-US" w:eastAsia="zh-CN"/>
        </w:rPr>
        <w:t>50</w:t>
      </w:r>
      <w:r>
        <w:rPr>
          <w:rFonts w:hint="eastAsia" w:ascii="仿宋_GB2312" w:hAnsi="宋体" w:eastAsia="仿宋_GB2312" w:cs="宋体"/>
          <w:color w:val="auto"/>
          <w:kern w:val="0"/>
          <w:sz w:val="30"/>
          <w:szCs w:val="30"/>
          <w:highlight w:val="none"/>
        </w:rPr>
        <w:t>人；年末实有人数 5</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人，其中在职人员 5</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 xml:space="preserve">人，退休人员 </w:t>
      </w:r>
      <w:r>
        <w:rPr>
          <w:rFonts w:hint="eastAsia" w:ascii="仿宋_GB2312" w:hAnsi="宋体" w:eastAsia="仿宋_GB2312" w:cs="宋体"/>
          <w:color w:val="auto"/>
          <w:kern w:val="0"/>
          <w:sz w:val="30"/>
          <w:szCs w:val="30"/>
          <w:highlight w:val="none"/>
          <w:lang w:val="en-US" w:eastAsia="zh-CN"/>
        </w:rPr>
        <w:t>30</w:t>
      </w:r>
      <w:r>
        <w:rPr>
          <w:rFonts w:hint="eastAsia" w:ascii="仿宋_GB2312" w:hAnsi="宋体" w:eastAsia="仿宋_GB2312" w:cs="宋体"/>
          <w:color w:val="auto"/>
          <w:kern w:val="0"/>
          <w:sz w:val="30"/>
          <w:szCs w:val="30"/>
          <w:highlight w:val="none"/>
        </w:rPr>
        <w:t>人。</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 xml:space="preserve">资产情况。  </w:t>
      </w:r>
    </w:p>
    <w:p>
      <w:pPr>
        <w:widowControl/>
        <w:spacing w:line="560" w:lineRule="exact"/>
        <w:ind w:firstLine="600" w:firstLineChars="200"/>
      </w:pPr>
      <w:r>
        <w:rPr>
          <w:rFonts w:hint="eastAsia" w:ascii="仿宋_GB2312" w:hAnsi="宋体" w:eastAsia="仿宋_GB2312" w:cs="宋体"/>
          <w:color w:val="auto"/>
          <w:kern w:val="0"/>
          <w:sz w:val="30"/>
          <w:szCs w:val="30"/>
          <w:highlight w:val="none"/>
        </w:rPr>
        <w:t>截至 2021 年 12月31日，我单位资产总额（账面净值，下同） 261,284.63 万元，较上年增长 487.14%。负债总额 826.7</w:t>
      </w:r>
      <w:r>
        <w:rPr>
          <w:rFonts w:hint="eastAsia" w:ascii="宋体" w:eastAsia="宋体" w:hAnsiTheme="minorEastAsia"/>
          <w:color w:val="000000"/>
          <w:sz w:val="27"/>
        </w:rPr>
        <w:t>7万元 ,较上年增长 -6.32%。净资产 260,457.86万元 ,较上年增长 497.12%。</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5、当年部门年度整体支出绩效目标和部门预算绩效管理开展情况。</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1）高速公路路网进一步完善。大广高速复线龙南段项目正在推进建设。增设桃江互通取得突破性进展，于2021年5月10日获省厅批复同意设立，于6月2日与省交投签订了合作建议协议。桃江互通及边接线已完成可研报告编制，正在推进前期工作，争取与主线工程同步建设。</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2）国省道建设实现新突破。G535龙南汶龙至渡江段改建工程正在推进龙南镇至渡江段建设，于2021年1月底已完成路基、垫层工程（含桥梁、涵洞、排水工程），目前正在摊铺沥青面层，预计今年11月底完成主体工程。G105龙南里仁至临塘段公路改建工程项目用地预审和规划选址研究报告已编制完成，11月16日召开了项目可研报告评审会。三南快线龙南里陂至龙秀段改造工程、龙湾大道等项目前期工作加快推进。</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3）农村公路建设优化升级。“四好农村路”（一期）项目包含道路项目22个，桥梁项目8个，1批县乡道安保项目（含27个子项目），1批村道安保项目（含53个子项目），1批道路隐患治理项目（含44个子项目），目前已完工或主体工程完工项目包括道路项目22个全部完成，道路隐患治理工程44个全部完成，桥梁项目完成7个，县乡道安保工程完成24个，村道安保工程完成46个。夹杨公路已完工。四是物流产业培育进一步深化。制定出台了《关于支持龙南市现代物流产业发展的若干措施》，鼓励扶持我市物流产业发展。重点推进建设龙南综合物流园（南区），已完成项目《总规》和《控规》，物流园主干道道路项目已开工建设，中通物流项目、农产品易中心项目有序开展；组建了本土物流集团并推进建设中。</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bookmarkStart w:id="0" w:name="_GoBack"/>
      <w:bookmarkEnd w:id="0"/>
      <w:r>
        <w:rPr>
          <w:rFonts w:hint="eastAsia" w:ascii="仿宋_GB2312" w:hAnsi="宋体" w:eastAsia="仿宋_GB2312" w:cs="宋体"/>
          <w:color w:val="auto"/>
          <w:kern w:val="0"/>
          <w:sz w:val="30"/>
          <w:szCs w:val="30"/>
          <w:highlight w:val="none"/>
          <w:lang w:val="en-US" w:eastAsia="zh-CN"/>
        </w:rPr>
        <w:t>6.当年部门预算及执行情况。</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部门预算情况：2021年龙南市交通运输局单位收入预算总额为688.68万元，其中财政拨款收入688.68 万元，较上年增加110.26万元；上年结转收入0 万元。</w:t>
      </w:r>
    </w:p>
    <w:p>
      <w:pPr>
        <w:widowControl/>
        <w:spacing w:line="560" w:lineRule="exact"/>
        <w:ind w:firstLine="600" w:firstLineChars="200"/>
        <w:rPr>
          <w:rFonts w:hint="default"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部门决算执行情况：</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（1）单位本年度实际收到的一般公共预算财政拨款收入5288.04万元，财政部门拨款对账单5288.04万元，差额0万元。</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（2）单位本年度政府性基金预算财政拨款收入17012.68万元，财政部门拨款对账单17012.68万元，差额  0 万元。</w:t>
      </w:r>
    </w:p>
    <w:p>
      <w:pPr>
        <w:widowControl/>
        <w:spacing w:line="560" w:lineRule="exact"/>
        <w:ind w:firstLine="600" w:firstLineChars="200"/>
        <w:rPr>
          <w:rFonts w:hint="default" w:ascii="仿宋_GB2312" w:hAnsi="宋体" w:eastAsia="仿宋_GB2312" w:cs="宋体"/>
          <w:color w:val="auto"/>
          <w:kern w:val="0"/>
          <w:sz w:val="30"/>
          <w:szCs w:val="30"/>
          <w:highlight w:val="none"/>
          <w:lang w:val="en-US" w:eastAsia="zh-CN"/>
        </w:rPr>
      </w:pPr>
      <w:r>
        <w:rPr>
          <w:rFonts w:hint="default" w:ascii="仿宋_GB2312" w:hAnsi="宋体" w:eastAsia="仿宋_GB2312" w:cs="宋体"/>
          <w:color w:val="auto"/>
          <w:kern w:val="0"/>
          <w:sz w:val="30"/>
          <w:szCs w:val="30"/>
          <w:highlight w:val="none"/>
          <w:lang w:val="en-US" w:eastAsia="zh-CN"/>
        </w:rPr>
        <w:t>二、部门整体支出绩效实现情况</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（1）绩效评价目的</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本次绩效评价的目的是为了全面分析和综合评价该单位本级财政预算资金的使用管理情况，为切实提高财政资金使用效益，强化预算支出的责任和效率提供参考依据。</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（2）绩效评价工作过程，主要包括前期准备、组织实施和分析评价等内容</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我局按照财政局绩效评价规程要求，第一阶段为前期准备阶段：单位制定了详细的工作方案，明确责任，确定评价指标细则；第二阶段为自评阶段：根据上一阶段任务布置，按照要求展开自评工作，并将评价结果报财政局；第三阶段为定性终评阶段，根据评价结果并出具评价报告。</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（3）专项资金管理和组织实施情况</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我局建立了专项资金管理办法，严格遵循专款专用、独立核算的管理原则。专项项目的申报严格按照财政资金管理的要求进行，专项资金财政拨款到位后及时进行了规划和资金投入。我局目前对专项资金的管理按照项目支出涉及的经济科目规定，根据财务管理办法的相关制度执行。</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三、存在的主要问题</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预算编制滞后，部分预算项目在预算编制时指标没有下达，还存在不确定因素，没有纳入年初预算，导致追加预算比例较大。</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四、改进措施</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针对上述存在的问题及我局整体支出管理工作的需要，拟实施的改进措施如下：</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1、 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提高预算的合理性和准确性。</w:t>
      </w:r>
    </w:p>
    <w:p>
      <w:pPr>
        <w:widowControl/>
        <w:spacing w:line="560" w:lineRule="exact"/>
        <w:ind w:firstLine="60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2、加强财务管理，严格财务审核。在费用报账支付时，按照预算规定的费用项目和用途进行资金使用审核、列报支付、财务核算，杜绝超支现象的发生。</w:t>
      </w:r>
    </w:p>
    <w:p>
      <w:pPr>
        <w:widowControl/>
        <w:spacing w:line="560" w:lineRule="exact"/>
        <w:ind w:firstLine="600" w:firstLineChars="200"/>
        <w:rPr>
          <w:rFonts w:hint="default"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0"/>
          <w:szCs w:val="30"/>
          <w:highlight w:val="none"/>
          <w:lang w:val="en-US" w:eastAsia="zh-CN"/>
        </w:rPr>
        <w:t>五</w:t>
      </w:r>
      <w:r>
        <w:rPr>
          <w:rFonts w:hint="default" w:ascii="仿宋_GB2312" w:hAnsi="宋体" w:eastAsia="仿宋_GB2312" w:cs="宋体"/>
          <w:color w:val="auto"/>
          <w:kern w:val="0"/>
          <w:sz w:val="30"/>
          <w:szCs w:val="30"/>
          <w:highlight w:val="none"/>
          <w:lang w:val="en-US" w:eastAsia="zh-CN"/>
        </w:rPr>
        <w:t>、绩效自评结果拟应用和公开情况</w:t>
      </w:r>
    </w:p>
    <w:p>
      <w:pPr>
        <w:widowControl/>
        <w:spacing w:line="560" w:lineRule="exact"/>
        <w:ind w:firstLine="600" w:firstLineChars="200"/>
        <w:rPr>
          <w:rFonts w:hint="default" w:ascii="仿宋_GB2312" w:hAnsi="宋体" w:eastAsia="仿宋_GB2312" w:cs="宋体"/>
          <w:color w:val="auto"/>
          <w:kern w:val="0"/>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E6ED0"/>
    <w:multiLevelType w:val="singleLevel"/>
    <w:tmpl w:val="D02E6ED0"/>
    <w:lvl w:ilvl="0" w:tentative="0">
      <w:start w:val="1"/>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D4CDD"/>
    <w:rsid w:val="232D4CDD"/>
    <w:rsid w:val="3AA1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2022-03-28T01:32:00Z</dcterms:created>
  <dc:creator>WPS_1219178235</dc:creator>
  <cp:lastModifiedBy>WPS_1219178235</cp:lastModifiedBy>
  <dcterms:modified xsi:type="dcterms:W3CDTF">2022-03-28T02:00:44Z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B2B97C6457FD4F2A9D2827DFC37015BD</vt:lpwstr>
  </property>
</Properties>
</file>