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一、部门概况</w:t>
      </w:r>
    </w:p>
    <w:p>
      <w:pPr>
        <w:spacing w:line="324" w:lineRule="auto"/>
        <w:ind w:firstLine="63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（一）部门主要职责职能，组织架构、人员及资产等基本情况。</w:t>
      </w:r>
    </w:p>
    <w:p>
      <w:pPr>
        <w:spacing w:line="324" w:lineRule="auto"/>
        <w:ind w:firstLine="63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龙南市金融工作局本级</w:t>
      </w:r>
      <w:r>
        <w:rPr>
          <w:rFonts w:hint="eastAsia" w:ascii="仿宋" w:hAnsi="仿宋" w:eastAsia="仿宋" w:cs="仿宋"/>
          <w:sz w:val="30"/>
          <w:szCs w:val="30"/>
        </w:rPr>
        <w:t>是全额拨款的事业单位，主要职能是拟定我县落实国家金融政策的实施意见，督促驻县金融机构落实好国家、省、市和县委、县政府的决策部署，协调和支持各金融机构创新业务，加大对地方经济和社会发展的支持。</w:t>
      </w:r>
    </w:p>
    <w:p>
      <w:pPr>
        <w:spacing w:line="324" w:lineRule="auto"/>
        <w:ind w:firstLine="63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、部门基本情况</w:t>
      </w:r>
    </w:p>
    <w:p>
      <w:pPr>
        <w:spacing w:line="324" w:lineRule="auto"/>
        <w:ind w:firstLine="63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纳入本套部门决算汇编范围的单位共1个。</w:t>
      </w:r>
    </w:p>
    <w:p>
      <w:pPr>
        <w:spacing w:line="324" w:lineRule="auto"/>
        <w:ind w:firstLine="63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截至 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 xml:space="preserve">年12月31日，我单位编制人数 7 人， 年末实有人数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 xml:space="preserve">人，较上年度增加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人。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主要原因是：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2020年新招录人员1人。</w:t>
      </w:r>
    </w:p>
    <w:p>
      <w:pPr>
        <w:ind w:firstLine="630"/>
        <w:jc w:val="left"/>
        <w:rPr>
          <w:rFonts w:hint="eastAsia" w:ascii="仿宋" w:hAnsi="仿宋" w:eastAsia="仿宋" w:cs="仿宋"/>
          <w:i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龙南市金融工作局本级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财政收入为：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287.81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</w:rPr>
        <w:t>，财政支出为：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lang w:val="en-US" w:eastAsia="zh-CN"/>
        </w:rPr>
        <w:t>211.80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</w:rPr>
        <w:t>万元，支出主要分类：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一般公共服务支出（金融业支出）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287.80万元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年未结转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结余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76.01万元是对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银行业考核奖励资金还没全部拨付完成，预算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执行情况良好。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（二）当年部门履职总体目标、工作任务。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坚持以习近平新时代中国特色社会主义思想为指导，深入贯彻落实党的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shd w:val="clear" w:color="auto" w:fill="FFFFFF"/>
        </w:rPr>
        <w:t>十九大、十九届四中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大力推动龙南金融业发展，不断完善金融服务体系，丰富金融业态，优化金融环境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当年部门年度整体支出绩效目标。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龙南市金融工作局将继续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以习近平新时代中国特色社会主义思想为指导，全面贯彻党的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shd w:val="clear" w:color="auto" w:fill="FFFFFF"/>
        </w:rPr>
        <w:t>十九大、十九届四中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shd w:val="clear" w:color="auto" w:fill="FFFFFF"/>
        </w:rPr>
        <w:t>五中全会精神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  <w:t>。将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重点做好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eastAsia="zh-CN"/>
        </w:rPr>
        <w:t>这几点方面工作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龙南市金融工作局本级</w:t>
      </w:r>
      <w:r>
        <w:rPr>
          <w:rFonts w:hint="eastAsia" w:ascii="仿宋" w:hAnsi="仿宋" w:eastAsia="仿宋" w:cs="仿宋"/>
          <w:sz w:val="30"/>
          <w:szCs w:val="30"/>
        </w:rPr>
        <w:t>紧紧围绕赣州市政府工作部署和主要目标任务，牢固树立金融是现代经济的核心，是实体经济的血脉的理念，主动作为，对标对表，围绕金融重点工作的具体内容，明确责任分工，细化工作措施，大力推动龙南金融业发展，不断完善金融服务体系，丰富金融业态，优化金融环境，统筹调动各方力量，稳步推进重点工作有效落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（四）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部门预算绩效管理开展情况。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2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龙南市金融工作局本级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按照“依法理财、统筹兼顾、突出重点、收支平衡”工作原则，科学合理编制收入预算，优化支出结构，盘活存量资金。按照全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  <w:t>委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经济社会发展新要求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编制2020年财政收支预算。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积极发挥财政职能，加强财政监管，提高依法理财水平，扎实工作，确保财政预算任务圆满完成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当年部门预算及执行情况。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2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项目预算编制经过科学论证、有明确标准，资金额度与年度目标是否相适应，且项目预算资金分配有测算依据，与补助单位或地方实际相适应。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二、部门整体支出绩效实现情况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（一）履职完成情况：从数量、质量、时效等方面归纳反映年度主要计划任务完成情况。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我局部门整体支出绩效</w:t>
      </w:r>
      <w:r>
        <w:rPr>
          <w:rFonts w:hint="eastAsia" w:ascii="仿宋" w:hAnsi="仿宋" w:eastAsia="仿宋" w:cs="仿宋"/>
          <w:kern w:val="0"/>
          <w:sz w:val="30"/>
          <w:szCs w:val="30"/>
        </w:rPr>
        <w:t>自评得分为9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3分，</w:t>
      </w:r>
      <w:r>
        <w:rPr>
          <w:rFonts w:hint="eastAsia" w:ascii="仿宋" w:hAnsi="仿宋" w:eastAsia="仿宋" w:cs="仿宋"/>
          <w:sz w:val="30"/>
          <w:szCs w:val="30"/>
        </w:rPr>
        <w:t>目前龙南有11家商业银行，地方法人机构只有1家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目前龙南政府性融资担保公司只有一家且担保资信和担保能力都</w:t>
      </w:r>
      <w:r>
        <w:rPr>
          <w:rFonts w:hint="eastAsia" w:ascii="仿宋" w:hAnsi="仿宋" w:eastAsia="仿宋" w:cs="仿宋"/>
          <w:sz w:val="30"/>
          <w:szCs w:val="30"/>
        </w:rPr>
        <w:t>亟待提高。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履职效果情况：从社会效益、经济效益（如有）、生态效益（如有）等方面反映部门履职效果的实现情况。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一、金融总量稳步增长</w:t>
      </w:r>
    </w:p>
    <w:p>
      <w:pPr>
        <w:spacing w:line="56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t>截至202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仿宋_GB2312" w:cs="仿宋_GB2312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仿宋_GB2312" w:cs="仿宋_GB2312"/>
          <w:sz w:val="32"/>
          <w:szCs w:val="32"/>
        </w:rPr>
        <w:t>月，全市银行业金融机构实现本外币各项存款余额比年初增加；各项贷款余额比年初增加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二、金融服务经济实体保障有力</w:t>
      </w:r>
    </w:p>
    <w:p>
      <w:pPr>
        <w:spacing w:line="560" w:lineRule="exact"/>
        <w:ind w:firstLine="640" w:firstLineChars="200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龙南政府性融资担保公司资本金，信贷通工作稳步实施。其中“财园信贷通”</w:t>
      </w:r>
      <w:r>
        <w:rPr>
          <w:rFonts w:ascii="宋体" w:hAnsi="宋体" w:eastAsia="仿宋_GB2312"/>
          <w:sz w:val="32"/>
          <w:szCs w:val="32"/>
        </w:rPr>
        <w:t>,</w:t>
      </w:r>
      <w:r>
        <w:rPr>
          <w:rFonts w:hint="eastAsia" w:ascii="宋体" w:hAnsi="宋体" w:eastAsia="仿宋_GB2312"/>
          <w:sz w:val="32"/>
          <w:szCs w:val="32"/>
        </w:rPr>
        <w:t>“财政惠农信贷通”，“产业扶贫信贷通”放款，农业产业振兴信贷通”。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社会满意度及可持续性影响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龙南市金融工作局在市委、市政府正确领导下，通过一年的努力工作，龙南市金融工作局本级上下全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体干部职工切实转变工作作风，办事更极积，态度更热情，使广大群众和服务对象更满意，社会公众满意度为97%。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部门整体支出绩效中存在问题及改进措施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eastAsia="zh-CN"/>
        </w:rPr>
        <w:t>一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）融资担保公司尚未充分发挥作用。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目前龙南政府性融资担保公司只有一家且担保资信和担保能力都</w:t>
      </w:r>
      <w:r>
        <w:rPr>
          <w:rFonts w:hint="eastAsia" w:ascii="仿宋" w:hAnsi="仿宋" w:eastAsia="仿宋" w:cs="仿宋"/>
          <w:sz w:val="30"/>
          <w:szCs w:val="30"/>
        </w:rPr>
        <w:t>亟待提高。截至目前，尚未达到年度目标要求。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）直接融资工作相对滞后。一是</w:t>
      </w:r>
      <w:r>
        <w:rPr>
          <w:rFonts w:hint="eastAsia" w:ascii="仿宋" w:hAnsi="仿宋" w:eastAsia="仿宋" w:cs="仿宋"/>
          <w:sz w:val="30"/>
          <w:szCs w:val="30"/>
        </w:rPr>
        <w:t>上市后备企业少、上市难度大。当前我市产业结构处于转型升级期，高新技术和新兴行业的企业大都处在创业和起始发展阶段，缺乏上市条件。同时我市的一些优质企业又为外地上市公司的下属公司，不具备推动上市条件。此外，我市纺织制衣、现代轻工和从事钢铁、水泥、煤炭等国家限制类产业企业规模一般，不具备核心竞争力，不符合挂牌上市的条件。</w:t>
      </w:r>
    </w:p>
    <w:p>
      <w:pPr>
        <w:ind w:firstLine="63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下一步改进措施：一是在绩效管理方面应进一步提高预算绩效管理认识，强化以“绩效为中心、对支出结果负责、对社会公众负责”的理念，在绩效目标编制方面，针对绩效目标设置指向不清、决算和目标匹配不足，数量目标和质量目标量化不细，效益目标编制不完整等方面加以改善；二是加强决算绩效动态监控管理，及时跟踪项目进度，对项目实施中存在的具体问题采取纠偏措施。加强相关专业技术人员的业务培训，进一步提高预算绩效评价质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绩效自评结果拟应用和公开情况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我单位的绩效目标的完成情况良好，为完成绩效目标制定了详细的措施和管理制度及执行情况，对资金安排、使用的运行情况，财务管理状况和资产配置与使用情况进行了跟踪，取得了较好的经济效益、社会效益，社会综合评价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7" w:leftChars="8" w:firstLine="602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6513F"/>
    <w:multiLevelType w:val="singleLevel"/>
    <w:tmpl w:val="FFE6513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2502E"/>
    <w:rsid w:val="008D2DA6"/>
    <w:rsid w:val="0C22132D"/>
    <w:rsid w:val="12917CBF"/>
    <w:rsid w:val="180B693E"/>
    <w:rsid w:val="19C0443F"/>
    <w:rsid w:val="1A1D4EFD"/>
    <w:rsid w:val="1D112AFB"/>
    <w:rsid w:val="219B13F4"/>
    <w:rsid w:val="2C4B3026"/>
    <w:rsid w:val="2E12502E"/>
    <w:rsid w:val="30CC6AC3"/>
    <w:rsid w:val="38A25EF0"/>
    <w:rsid w:val="39B00D64"/>
    <w:rsid w:val="3C2F3D41"/>
    <w:rsid w:val="44D133DD"/>
    <w:rsid w:val="472E7A3C"/>
    <w:rsid w:val="4AAA264E"/>
    <w:rsid w:val="4B55288A"/>
    <w:rsid w:val="4C5A3202"/>
    <w:rsid w:val="560960C9"/>
    <w:rsid w:val="5A9D6F16"/>
    <w:rsid w:val="5B725068"/>
    <w:rsid w:val="604B2829"/>
    <w:rsid w:val="621C0733"/>
    <w:rsid w:val="63A06CA9"/>
    <w:rsid w:val="66F86862"/>
    <w:rsid w:val="72AC0DC3"/>
    <w:rsid w:val="78107880"/>
    <w:rsid w:val="7BB1351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spacing w:beforeAutospacing="1" w:afterAutospacing="1"/>
      <w:jc w:val="left"/>
      <w:outlineLvl w:val="3"/>
    </w:pPr>
    <w:rPr>
      <w:rFonts w:ascii="宋体" w:hAnsi="宋体" w:eastAsia="Times New Roman"/>
      <w:b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hint="eastAsia"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hint="eastAsi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21"/>
    <w:basedOn w:val="8"/>
    <w:qFormat/>
    <w:uiPriority w:val="0"/>
    <w:rPr>
      <w:rFonts w:hint="eastAsia" w:ascii="仿宋" w:hAnsi="仿宋" w:eastAsia="仿宋" w:cs="仿宋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2021-04-25T06:28:00Z</dcterms:created>
  <dc:creator>Administrator</dc:creator>
  <cp:lastModifiedBy>Administrator</cp:lastModifiedBy>
  <cp:lastPrinted>2021-06-29T03:23:00Z</cp:lastPrinted>
  <dcterms:modified xsi:type="dcterms:W3CDTF">2022-09-02T11:42:10Z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8DF7787BBF6E4491ADF3595AADBA52BC</vt:lpwstr>
  </property>
</Properties>
</file>