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龙南自然资源局本级部门整体支出绩效</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lang w:eastAsia="zh-CN"/>
        </w:rPr>
      </w:pPr>
      <w:r>
        <w:rPr>
          <w:rFonts w:hint="eastAsia" w:ascii="方正小标宋简体" w:hAnsi="方正小标宋简体" w:eastAsia="方正小标宋简体" w:cs="方正小标宋简体"/>
          <w:sz w:val="44"/>
          <w:szCs w:val="44"/>
          <w:lang w:eastAsia="zh-CN"/>
        </w:rPr>
        <w:t>自评报告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一、部门概况</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val="0"/>
          <w:sz w:val="32"/>
          <w:szCs w:val="32"/>
        </w:rPr>
      </w:pPr>
      <w:r>
        <w:rPr>
          <w:rFonts w:hint="eastAsia" w:ascii="楷体" w:hAnsi="楷体" w:eastAsia="楷体" w:cs="楷体"/>
          <w:b/>
          <w:bCs w:val="0"/>
          <w:sz w:val="32"/>
          <w:szCs w:val="32"/>
          <w:lang w:eastAsia="zh-CN"/>
        </w:rPr>
        <w:t>（一）</w:t>
      </w:r>
      <w:r>
        <w:rPr>
          <w:rFonts w:hint="eastAsia" w:ascii="楷体" w:hAnsi="楷体" w:eastAsia="楷体" w:cs="楷体"/>
          <w:b/>
          <w:bCs w:val="0"/>
          <w:sz w:val="32"/>
          <w:szCs w:val="32"/>
        </w:rPr>
        <w:t>部门主要职责职能组织架构、人员及资产等基本情况。</w:t>
      </w:r>
    </w:p>
    <w:p>
      <w:pPr>
        <w:spacing w:line="324"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w:t>
      </w:r>
      <w:r>
        <w:rPr>
          <w:rFonts w:hint="eastAsia" w:ascii="仿宋" w:hAnsi="仿宋" w:eastAsia="仿宋" w:cs="仿宋"/>
          <w:sz w:val="32"/>
          <w:szCs w:val="32"/>
        </w:rPr>
        <w:t>）履行全民所有土地、矿产、森林、草地、湿地、水等自然资源资产所有者职责以及所有国土空间用途管制和生态修 复职责。贯彻执行国家自然资源和国土空间规划及测绘等法律法 规，拟订自然资源和国土空间规划及测绘等规范性文件，制定相 关管理政策并监督执行。</w:t>
      </w:r>
    </w:p>
    <w:p>
      <w:pPr>
        <w:spacing w:line="324"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2</w:t>
      </w:r>
      <w:r>
        <w:rPr>
          <w:rFonts w:hint="eastAsia" w:ascii="仿宋" w:hAnsi="仿宋" w:eastAsia="仿宋" w:cs="仿宋"/>
          <w:sz w:val="32"/>
          <w:szCs w:val="32"/>
        </w:rPr>
        <w:t>）负责自然资源调查监测评价。贯彻执行自然资源调查监测评价制度、指标体系和统计标准。实施自然资源基础调查、专项调查和监测。负责全市自然资源调查监测评价成果的监督管 理和信息发布。指导全市自然资源调查监测评价工作。</w:t>
      </w:r>
    </w:p>
    <w:p>
      <w:pPr>
        <w:spacing w:line="324"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3</w:t>
      </w:r>
      <w:r>
        <w:rPr>
          <w:rFonts w:hint="eastAsia" w:ascii="仿宋" w:hAnsi="仿宋" w:eastAsia="仿宋" w:cs="仿宋"/>
          <w:sz w:val="32"/>
          <w:szCs w:val="32"/>
        </w:rPr>
        <w:t>）负责自然资源统一确权登记工作。贯彻执行各类自然资源和不动产统一确权登记、权籍调查、不动产测绘、争议调处、 成果应用的制度、标准、规范。建立健全全市自然资源和不动产登记信息管理基础平台。负责自然资源和不动产登记资料收集、整理、共享、汇交管理等。指导监督全市自然资源和不动产确权登记工作。</w:t>
      </w:r>
    </w:p>
    <w:p>
      <w:pPr>
        <w:spacing w:line="324"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4</w:t>
      </w:r>
      <w:r>
        <w:rPr>
          <w:rFonts w:hint="eastAsia" w:ascii="仿宋" w:hAnsi="仿宋" w:eastAsia="仿宋" w:cs="仿宋"/>
          <w:sz w:val="32"/>
          <w:szCs w:val="32"/>
        </w:rPr>
        <w:t>）负责自然资源资产有偿使用工作。贯彻执行全民所有自然资源资产统计制度，负责全民所有自然资源资产核算。编制 全民所有自然资源资产负债表，按照标准组织实施考核。指导全 民所有自然资源资产划拨、出让、租赁、作价出资和土地储备政策落实，合理配置全民所有自然资源资产。</w:t>
      </w:r>
    </w:p>
    <w:p>
      <w:pPr>
        <w:spacing w:line="324"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5</w:t>
      </w:r>
      <w:r>
        <w:rPr>
          <w:rFonts w:hint="eastAsia" w:ascii="仿宋" w:hAnsi="仿宋" w:eastAsia="仿宋" w:cs="仿宋"/>
          <w:sz w:val="32"/>
          <w:szCs w:val="32"/>
        </w:rPr>
        <w:t>）负责自然资源的合理开发利用工作。组织拟订自然资源发展规划，按照自然资源开发利用标准组织实施，建立政府公 示自然资源价格体系，组织开展自然资源分等定级价格评估，开 展自然资源利用评价考核，指导节约集约利用。组织拟订并实施 土地等自然资源年度利用计划。负责土地等国土空间用途转用工 作。负责自然资源市场监管。建立和实施全民所有自然资源资产 调查统计制度，负责资产核算工作。统筹协调安排全市城乡各项 建设，组织制定近期建设计划和年度规划实施计划。制定市本级土地储备和出让计划，组织实施建设用地计划和各类用地定额指 标；负责组织土地出让的前期策划，制定规划条件。组织开展全民所有自然资源资产划拨、出让、转让、变更、收购、收回、租赁、作价出资和土地储备相关工作。负责自然资源资产价值评估管理，依法收缴土地出让金以及其他自然资源资产收益。</w:t>
      </w:r>
    </w:p>
    <w:p>
      <w:pPr>
        <w:spacing w:line="324"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6</w:t>
      </w:r>
      <w:r>
        <w:rPr>
          <w:rFonts w:hint="eastAsia" w:ascii="仿宋" w:hAnsi="仿宋" w:eastAsia="仿宋" w:cs="仿宋"/>
          <w:sz w:val="32"/>
          <w:szCs w:val="32"/>
        </w:rPr>
        <w:t>）负责建立全市空间规划体系并监督实施。贯彻落实主体功能区战略和制度，组织编制并监督实施国土空间规划、详细 规划和相关专项规划，负责有关规划的审批、审查报批、报备工作。开展国土空间开发适宜性评价，建立国土空间规划实施监测、评估和预警体系。组织划定生态保护红线、永久基本农田、城镇开发边界等控制线，构建节约资源和保护环境的生产、生活、生态空间布局。推动实施“一张蓝图”、“多规合一”。建立健全国土空间用途管制制度。指导开展城市设计工作，负责城市管线的普查、备案，确保管线走向、位置准确，牵头建立健全会商机制，在规划设计前，与工程建设相关单位进行会商，通报工程规划设计、管道信息。负责将安全生产的基本要求和保障措施落实到城市规划的各个环节。负责建设项目规划审批管理。统筹全市村庄规划管理工作，指导村庄规划的编制审批工作。</w:t>
      </w:r>
    </w:p>
    <w:p>
      <w:pPr>
        <w:spacing w:line="324"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7</w:t>
      </w:r>
      <w:r>
        <w:rPr>
          <w:rFonts w:hint="eastAsia" w:ascii="仿宋" w:hAnsi="仿宋" w:eastAsia="仿宋" w:cs="仿宋"/>
          <w:sz w:val="32"/>
          <w:szCs w:val="32"/>
        </w:rPr>
        <w:t>）负责统筹国土空间和自然资源生态修复。牵头组织编制国土空间和自然资源生态修复规划并实施有关生态修复重点 工程。负责国土空间综合整治、土地整理复垦、矿山地质环境恢复治理、矿业遗迹保护等工作。贯彻执行生态保护补偿制度，制定合理利用社会资金进行生态修复的措施，提出重大备选项目。</w:t>
      </w:r>
    </w:p>
    <w:p>
      <w:pPr>
        <w:spacing w:line="324"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8</w:t>
      </w:r>
      <w:r>
        <w:rPr>
          <w:rFonts w:hint="eastAsia" w:ascii="仿宋" w:hAnsi="仿宋" w:eastAsia="仿宋" w:cs="仿宋"/>
          <w:sz w:val="32"/>
          <w:szCs w:val="32"/>
        </w:rPr>
        <w:t>）负责组织实施最严格的耕地保护制度。牵头组织实施耕地保护政策，负责耕地数量、质量、生态保护。组织实施耕地保护责任目标考核和永久基本农田特殊保护。落实耕地占补平衡 措施，监督占用耕地补偿制度执行情况。负责土地征收征用管理。</w:t>
      </w:r>
    </w:p>
    <w:p>
      <w:pPr>
        <w:spacing w:line="324"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9</w:t>
      </w:r>
      <w:r>
        <w:rPr>
          <w:rFonts w:hint="eastAsia" w:ascii="仿宋" w:hAnsi="仿宋" w:eastAsia="仿宋" w:cs="仿宋"/>
          <w:sz w:val="32"/>
          <w:szCs w:val="32"/>
        </w:rPr>
        <w:t>）负责管理地质勘查行业和全市地质工作。编制实施地质勘查规划并监督检查执行情况。监督管理市级和上级自然资源 部门委托监督管理的地质调查、矿产勘查项目，组织实施市重大 地质调查、矿产勘查专项。负责地质灾害预防和治理。监督地质资料汇交、保护、利用。负责监测、监督管理地下水过量开采、疏干及引发的地面沉降等地质问题。协助地质勘查活动安全生产监督管理工作。负责古生物化石等地质遗迹的监督管理。</w:t>
      </w:r>
    </w:p>
    <w:p>
      <w:pPr>
        <w:spacing w:line="324"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10</w:t>
      </w:r>
      <w:r>
        <w:rPr>
          <w:rFonts w:hint="eastAsia" w:ascii="仿宋" w:hAnsi="仿宋" w:eastAsia="仿宋" w:cs="仿宋"/>
          <w:sz w:val="32"/>
          <w:szCs w:val="32"/>
        </w:rPr>
        <w:t>）负责落实综合防灾减灾规划相关要求，组织编制地质灾害防治规划和防护标准并指导实施。组织指导协调和监督地质 灾害调查评价及隐患的普查、详查、排查。指导开展群测群防、专业监测和预报预警等工作，指导开展地质灾害工程治理工作。 承担地质灾害应急救援的技术支撑工作。负责地质灾害治理项目安全生产监督管理。</w:t>
      </w:r>
    </w:p>
    <w:p>
      <w:pPr>
        <w:spacing w:line="324"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11</w:t>
      </w:r>
      <w:r>
        <w:rPr>
          <w:rFonts w:hint="eastAsia" w:ascii="仿宋" w:hAnsi="仿宋" w:eastAsia="仿宋" w:cs="仿宋"/>
          <w:sz w:val="32"/>
          <w:szCs w:val="32"/>
        </w:rPr>
        <w:t>）负责矿产资源管理工作。负责权限内的矿产资源储量管理及压覆矿产资源管理。负责矿业权管理。会同有关部门承 担保护性开采的特定矿种、优势矿产的调控及相关管理工作。监 督指导矿产资源合理利用和保护。负责依法查处无证勘查、开采，持勘查许可证采矿，超越批准的矿区范围采矿等违法违规行为。负责对无采矿许可证和超层越界开采、资源接近枯竭、不符合矿产资源规划等矿井关闭工作及关闭是否到位情况进行监督和指导，会同相关部门组织指导并监督检查废弃矿井的治理工作。</w:t>
      </w:r>
    </w:p>
    <w:p>
      <w:pPr>
        <w:spacing w:line="324"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12</w:t>
      </w:r>
      <w:r>
        <w:rPr>
          <w:rFonts w:hint="eastAsia" w:ascii="仿宋" w:hAnsi="仿宋" w:eastAsia="仿宋" w:cs="仿宋"/>
          <w:sz w:val="32"/>
          <w:szCs w:val="32"/>
        </w:rPr>
        <w:t>）负责测绘地理信息管理工作。负责基础测绘和测绘行业管理。负责测绘资质资格与信用管理，监督管理全市地理信息安全和市场秩序。负责地理信息公共服务管理。负责测量标志 保护。规范和管理权限内卫星导航定位基准站。</w:t>
      </w:r>
    </w:p>
    <w:p>
      <w:pPr>
        <w:spacing w:line="324"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13</w:t>
      </w:r>
      <w:r>
        <w:rPr>
          <w:rFonts w:hint="eastAsia" w:ascii="仿宋" w:hAnsi="仿宋" w:eastAsia="仿宋" w:cs="仿宋"/>
          <w:sz w:val="32"/>
          <w:szCs w:val="32"/>
        </w:rPr>
        <w:t>）推动自然资源领域科技发展。编制并实施自然资源领域科技创新发展和人才培养规划计划。组织实施重大科技工程 及创新能力建设，推进自然资源信息化和信息资料的公共服务。 组织开展自然资源领域对外交流合作。</w:t>
      </w:r>
    </w:p>
    <w:p>
      <w:pPr>
        <w:spacing w:line="324"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14</w:t>
      </w:r>
      <w:r>
        <w:rPr>
          <w:rFonts w:hint="eastAsia" w:ascii="仿宋" w:hAnsi="仿宋" w:eastAsia="仿宋" w:cs="仿宋"/>
          <w:sz w:val="32"/>
          <w:szCs w:val="32"/>
        </w:rPr>
        <w:t>）负责组织指导自然资源行政执法工作。组织查处自然资源领域重大违法案件。负责指导全市有关行政执法工作。配 合国家、省自然资源领域督察相关工作。</w:t>
      </w:r>
    </w:p>
    <w:p>
      <w:pPr>
        <w:spacing w:line="324"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15</w:t>
      </w:r>
      <w:r>
        <w:rPr>
          <w:rFonts w:hint="eastAsia" w:ascii="仿宋" w:hAnsi="仿宋" w:eastAsia="仿宋" w:cs="仿宋"/>
          <w:sz w:val="32"/>
          <w:szCs w:val="32"/>
        </w:rPr>
        <w:t>）按照中央、省要求，继续深入推进自然资源资产管理体制改革试点工作。</w:t>
      </w:r>
    </w:p>
    <w:p>
      <w:pPr>
        <w:spacing w:line="324"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16</w:t>
      </w:r>
      <w:r>
        <w:rPr>
          <w:rFonts w:hint="eastAsia" w:ascii="仿宋" w:hAnsi="仿宋" w:eastAsia="仿宋" w:cs="仿宋"/>
          <w:sz w:val="32"/>
          <w:szCs w:val="32"/>
        </w:rPr>
        <w:t>）全市自然资源系统干部管理体制，按照“分级管理，下管一级”的原则进行管理，实行双重领导，以上一级自然资源主管部门党组管理为主，所在地方党委协助管理。</w:t>
      </w:r>
    </w:p>
    <w:p>
      <w:pPr>
        <w:spacing w:line="324" w:lineRule="auto"/>
        <w:ind w:firstLine="640" w:firstLineChars="200"/>
        <w:jc w:val="left"/>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val="en-US" w:eastAsia="zh-CN"/>
        </w:rPr>
        <w:t>17</w:t>
      </w:r>
      <w:r>
        <w:rPr>
          <w:rFonts w:hint="eastAsia" w:ascii="仿宋" w:hAnsi="仿宋" w:eastAsia="仿宋" w:cs="仿宋"/>
          <w:sz w:val="32"/>
          <w:szCs w:val="32"/>
        </w:rPr>
        <w:t>）完成市委、市政府交办的其他任务。</w:t>
      </w:r>
    </w:p>
    <w:p>
      <w:pPr>
        <w:spacing w:line="312" w:lineRule="auto"/>
        <w:ind w:firstLine="640" w:firstLineChars="200"/>
        <w:rPr>
          <w:rFonts w:hint="eastAsia" w:ascii="仿宋" w:hAnsi="仿宋" w:eastAsia="仿宋" w:cs="仿宋"/>
          <w:sz w:val="30"/>
          <w:szCs w:val="30"/>
        </w:rPr>
      </w:pPr>
      <w:r>
        <w:rPr>
          <w:rFonts w:hint="eastAsia" w:ascii="仿宋" w:hAnsi="仿宋" w:eastAsia="仿宋"/>
          <w:sz w:val="32"/>
          <w:szCs w:val="32"/>
          <w:lang w:eastAsia="zh-CN"/>
        </w:rPr>
        <w:t>龙南市自然资源局本级</w:t>
      </w:r>
      <w:r>
        <w:rPr>
          <w:rFonts w:hint="eastAsia" w:ascii="仿宋" w:hAnsi="仿宋" w:eastAsia="仿宋"/>
          <w:sz w:val="32"/>
          <w:szCs w:val="32"/>
        </w:rPr>
        <w:t>共有预算单位</w:t>
      </w:r>
      <w:r>
        <w:rPr>
          <w:rFonts w:hint="eastAsia" w:ascii="仿宋" w:hAnsi="仿宋" w:eastAsia="仿宋"/>
          <w:sz w:val="32"/>
          <w:szCs w:val="32"/>
          <w:lang w:val="en-US" w:eastAsia="zh-CN"/>
        </w:rPr>
        <w:t>2</w:t>
      </w:r>
      <w:r>
        <w:rPr>
          <w:rFonts w:hint="eastAsia" w:ascii="仿宋" w:hAnsi="仿宋" w:eastAsia="仿宋"/>
          <w:sz w:val="32"/>
          <w:szCs w:val="32"/>
        </w:rPr>
        <w:t>个，包括局本级和</w:t>
      </w:r>
      <w:r>
        <w:rPr>
          <w:rFonts w:hint="eastAsia" w:ascii="仿宋" w:hAnsi="仿宋" w:eastAsia="仿宋"/>
          <w:sz w:val="32"/>
          <w:szCs w:val="32"/>
          <w:lang w:val="en-US" w:eastAsia="zh-CN"/>
        </w:rPr>
        <w:t>1</w:t>
      </w:r>
      <w:r>
        <w:rPr>
          <w:rFonts w:hint="eastAsia" w:ascii="仿宋" w:hAnsi="仿宋" w:eastAsia="仿宋"/>
          <w:sz w:val="32"/>
          <w:szCs w:val="32"/>
        </w:rPr>
        <w:t>个下属事业单位。编制人数</w:t>
      </w:r>
      <w:r>
        <w:rPr>
          <w:rFonts w:hint="eastAsia" w:ascii="仿宋" w:hAnsi="仿宋" w:eastAsia="仿宋"/>
          <w:sz w:val="32"/>
          <w:szCs w:val="32"/>
          <w:lang w:val="en-US" w:eastAsia="zh-CN"/>
        </w:rPr>
        <w:t>189</w:t>
      </w:r>
      <w:r>
        <w:rPr>
          <w:rFonts w:hint="eastAsia" w:ascii="仿宋" w:hAnsi="仿宋" w:eastAsia="仿宋"/>
          <w:sz w:val="32"/>
          <w:szCs w:val="32"/>
        </w:rPr>
        <w:t>人，其中：行政编制</w:t>
      </w:r>
      <w:r>
        <w:rPr>
          <w:rFonts w:hint="eastAsia" w:ascii="仿宋" w:hAnsi="仿宋" w:eastAsia="仿宋"/>
          <w:sz w:val="32"/>
          <w:szCs w:val="32"/>
          <w:lang w:val="en-US" w:eastAsia="zh-CN"/>
        </w:rPr>
        <w:t>16</w:t>
      </w:r>
      <w:r>
        <w:rPr>
          <w:rFonts w:hint="eastAsia" w:ascii="仿宋" w:hAnsi="仿宋" w:eastAsia="仿宋"/>
          <w:sz w:val="32"/>
          <w:szCs w:val="32"/>
        </w:rPr>
        <w:t>人、</w:t>
      </w:r>
      <w:r>
        <w:rPr>
          <w:rFonts w:hint="eastAsia" w:ascii="仿宋" w:hAnsi="仿宋" w:eastAsia="仿宋"/>
          <w:sz w:val="32"/>
          <w:szCs w:val="32"/>
          <w:lang w:eastAsia="zh-CN"/>
        </w:rPr>
        <w:t>行政工勤编制</w:t>
      </w:r>
      <w:r>
        <w:rPr>
          <w:rFonts w:hint="eastAsia" w:ascii="仿宋" w:hAnsi="仿宋" w:eastAsia="仿宋"/>
          <w:sz w:val="32"/>
          <w:szCs w:val="32"/>
          <w:lang w:val="en-US" w:eastAsia="zh-CN"/>
        </w:rPr>
        <w:t>3人，</w:t>
      </w:r>
      <w:r>
        <w:rPr>
          <w:rFonts w:hint="eastAsia" w:ascii="仿宋" w:hAnsi="仿宋" w:eastAsia="仿宋"/>
          <w:sz w:val="32"/>
          <w:szCs w:val="32"/>
        </w:rPr>
        <w:t>参照公务员管理的事业单位编制人数</w:t>
      </w:r>
      <w:r>
        <w:rPr>
          <w:rFonts w:hint="eastAsia" w:ascii="仿宋" w:hAnsi="仿宋" w:eastAsia="仿宋"/>
          <w:sz w:val="32"/>
          <w:szCs w:val="32"/>
          <w:lang w:val="en-US" w:eastAsia="zh-CN"/>
        </w:rPr>
        <w:t>30人</w:t>
      </w:r>
      <w:r>
        <w:rPr>
          <w:rFonts w:hint="eastAsia" w:ascii="仿宋" w:hAnsi="仿宋" w:eastAsia="仿宋"/>
          <w:sz w:val="32"/>
          <w:szCs w:val="32"/>
        </w:rPr>
        <w:t>、全部补助事业编制</w:t>
      </w:r>
      <w:r>
        <w:rPr>
          <w:rFonts w:hint="eastAsia" w:ascii="仿宋" w:hAnsi="仿宋" w:eastAsia="仿宋"/>
          <w:sz w:val="32"/>
          <w:szCs w:val="32"/>
          <w:lang w:val="en-US" w:eastAsia="zh-CN"/>
        </w:rPr>
        <w:t>140</w:t>
      </w:r>
      <w:r>
        <w:rPr>
          <w:rFonts w:hint="eastAsia" w:ascii="仿宋" w:hAnsi="仿宋" w:eastAsia="仿宋"/>
          <w:sz w:val="32"/>
          <w:szCs w:val="32"/>
        </w:rPr>
        <w:t>人、部分补助事业编制0人、自收自支事业编制0人；实有人</w:t>
      </w:r>
      <w:r>
        <w:rPr>
          <w:rFonts w:hint="eastAsia" w:ascii="仿宋" w:hAnsi="仿宋" w:eastAsia="仿宋"/>
          <w:sz w:val="32"/>
          <w:szCs w:val="32"/>
          <w:lang w:eastAsia="zh-CN"/>
        </w:rPr>
        <w:t>数</w:t>
      </w:r>
      <w:r>
        <w:rPr>
          <w:rFonts w:hint="eastAsia" w:ascii="仿宋" w:hAnsi="仿宋" w:eastAsia="仿宋"/>
          <w:sz w:val="32"/>
          <w:szCs w:val="32"/>
          <w:lang w:val="en-US" w:eastAsia="zh-CN"/>
        </w:rPr>
        <w:t>149</w:t>
      </w:r>
      <w:r>
        <w:rPr>
          <w:rFonts w:hint="eastAsia" w:ascii="仿宋" w:hAnsi="仿宋" w:eastAsia="仿宋"/>
          <w:sz w:val="32"/>
          <w:szCs w:val="32"/>
        </w:rPr>
        <w:t>人，其中：在职人数</w:t>
      </w:r>
      <w:r>
        <w:rPr>
          <w:rFonts w:hint="eastAsia" w:ascii="仿宋" w:hAnsi="仿宋" w:eastAsia="仿宋"/>
          <w:sz w:val="32"/>
          <w:szCs w:val="32"/>
          <w:lang w:val="en-US" w:eastAsia="zh-CN"/>
        </w:rPr>
        <w:t>149</w:t>
      </w:r>
      <w:r>
        <w:rPr>
          <w:rFonts w:hint="eastAsia" w:ascii="仿宋" w:hAnsi="仿宋" w:eastAsia="仿宋"/>
          <w:sz w:val="32"/>
          <w:szCs w:val="32"/>
        </w:rPr>
        <w:t>人，包括行政人员</w:t>
      </w:r>
      <w:r>
        <w:rPr>
          <w:rFonts w:hint="eastAsia" w:ascii="仿宋" w:hAnsi="仿宋" w:eastAsia="仿宋"/>
          <w:sz w:val="32"/>
          <w:szCs w:val="32"/>
          <w:lang w:val="en-US" w:eastAsia="zh-CN"/>
        </w:rPr>
        <w:t>9</w:t>
      </w:r>
      <w:r>
        <w:rPr>
          <w:rFonts w:hint="eastAsia" w:ascii="仿宋" w:hAnsi="仿宋" w:eastAsia="仿宋"/>
          <w:sz w:val="32"/>
          <w:szCs w:val="32"/>
        </w:rPr>
        <w:t>人、</w:t>
      </w:r>
      <w:r>
        <w:rPr>
          <w:rFonts w:hint="eastAsia" w:ascii="仿宋" w:hAnsi="仿宋" w:eastAsia="仿宋"/>
          <w:sz w:val="32"/>
          <w:szCs w:val="32"/>
          <w:lang w:eastAsia="zh-CN"/>
        </w:rPr>
        <w:t>行政工勤编制</w:t>
      </w:r>
      <w:r>
        <w:rPr>
          <w:rFonts w:hint="eastAsia" w:ascii="仿宋" w:hAnsi="仿宋" w:eastAsia="仿宋"/>
          <w:sz w:val="32"/>
          <w:szCs w:val="32"/>
          <w:lang w:val="en-US" w:eastAsia="zh-CN"/>
        </w:rPr>
        <w:t>2人，</w:t>
      </w:r>
      <w:r>
        <w:rPr>
          <w:rFonts w:hint="eastAsia" w:ascii="仿宋" w:hAnsi="仿宋" w:eastAsia="仿宋"/>
          <w:sz w:val="32"/>
          <w:szCs w:val="32"/>
        </w:rPr>
        <w:t>参照公务员管理的事业单位编制人数10人、全部补助事业人员</w:t>
      </w:r>
      <w:r>
        <w:rPr>
          <w:rFonts w:hint="eastAsia" w:ascii="仿宋" w:hAnsi="仿宋" w:eastAsia="仿宋"/>
          <w:sz w:val="32"/>
          <w:szCs w:val="32"/>
          <w:lang w:val="en-US" w:eastAsia="zh-CN"/>
        </w:rPr>
        <w:t>128</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rPr>
        <w:t>退休人员</w:t>
      </w:r>
      <w:r>
        <w:rPr>
          <w:rFonts w:hint="eastAsia" w:ascii="仿宋" w:hAnsi="仿宋" w:eastAsia="仿宋"/>
          <w:sz w:val="32"/>
          <w:szCs w:val="32"/>
          <w:lang w:val="en-US" w:eastAsia="zh-CN"/>
        </w:rPr>
        <w:t>49</w:t>
      </w:r>
      <w:r>
        <w:rPr>
          <w:rFonts w:hint="eastAsia" w:ascii="仿宋" w:hAnsi="仿宋" w:eastAsia="仿宋"/>
          <w:sz w:val="32"/>
          <w:szCs w:val="32"/>
        </w:rPr>
        <w:t>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2020年全年收入12714.22万元，其中：全年财政拨款收入4667.12万元，其中政府性基金收入8047.09万元。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2020年全年支出12714.22万元，其中：基本支出</w:t>
      </w:r>
      <w:r>
        <w:rPr>
          <w:rFonts w:hint="eastAsia" w:ascii="仿宋" w:hAnsi="仿宋" w:eastAsia="仿宋"/>
          <w:sz w:val="30"/>
          <w:szCs w:val="30"/>
        </w:rPr>
        <w:t>2168.42</w:t>
      </w:r>
      <w:r>
        <w:rPr>
          <w:rFonts w:hint="eastAsia" w:ascii="仿宋" w:hAnsi="仿宋" w:eastAsia="仿宋" w:cs="仿宋"/>
          <w:sz w:val="32"/>
          <w:szCs w:val="32"/>
          <w:lang w:val="en-US" w:eastAsia="zh-CN"/>
        </w:rPr>
        <w:t>万元，（其中工资福利支出</w:t>
      </w:r>
      <w:r>
        <w:rPr>
          <w:rFonts w:hint="eastAsia" w:ascii="仿宋" w:hAnsi="仿宋" w:eastAsia="仿宋"/>
          <w:sz w:val="30"/>
          <w:szCs w:val="30"/>
        </w:rPr>
        <w:t>1072.54</w:t>
      </w:r>
      <w:r>
        <w:rPr>
          <w:rFonts w:hint="eastAsia" w:ascii="仿宋" w:hAnsi="仿宋" w:eastAsia="仿宋" w:cs="仿宋"/>
          <w:sz w:val="32"/>
          <w:szCs w:val="32"/>
          <w:lang w:val="en-US" w:eastAsia="zh-CN"/>
        </w:rPr>
        <w:t>万元，商品和服务支出</w:t>
      </w:r>
      <w:r>
        <w:rPr>
          <w:rFonts w:hint="eastAsia" w:ascii="仿宋" w:hAnsi="仿宋" w:eastAsia="仿宋"/>
          <w:sz w:val="30"/>
          <w:szCs w:val="30"/>
        </w:rPr>
        <w:t>927.63</w:t>
      </w:r>
      <w:r>
        <w:rPr>
          <w:rFonts w:hint="eastAsia" w:ascii="仿宋" w:hAnsi="仿宋" w:eastAsia="仿宋" w:cs="仿宋"/>
          <w:sz w:val="32"/>
          <w:szCs w:val="32"/>
          <w:lang w:val="en-US" w:eastAsia="zh-CN"/>
        </w:rPr>
        <w:t>万元，对个人和家庭的补助支出</w:t>
      </w:r>
      <w:r>
        <w:rPr>
          <w:rFonts w:hint="eastAsia" w:ascii="仿宋" w:hAnsi="仿宋" w:eastAsia="仿宋"/>
          <w:sz w:val="30"/>
          <w:szCs w:val="30"/>
        </w:rPr>
        <w:t>45.58</w:t>
      </w:r>
      <w:r>
        <w:rPr>
          <w:rFonts w:hint="eastAsia" w:ascii="仿宋" w:hAnsi="仿宋" w:eastAsia="仿宋" w:cs="仿宋"/>
          <w:sz w:val="32"/>
          <w:szCs w:val="32"/>
          <w:lang w:val="en-US" w:eastAsia="zh-CN"/>
        </w:rPr>
        <w:t>万元，资本性支出</w:t>
      </w:r>
      <w:r>
        <w:rPr>
          <w:rFonts w:hint="eastAsia" w:ascii="仿宋" w:hAnsi="仿宋" w:eastAsia="仿宋"/>
          <w:sz w:val="30"/>
          <w:szCs w:val="30"/>
        </w:rPr>
        <w:t>106.24</w:t>
      </w:r>
      <w:r>
        <w:rPr>
          <w:rFonts w:hint="eastAsia" w:ascii="仿宋" w:hAnsi="仿宋" w:eastAsia="仿宋" w:cs="仿宋"/>
          <w:sz w:val="32"/>
          <w:szCs w:val="32"/>
          <w:lang w:val="en-US" w:eastAsia="zh-CN"/>
        </w:rPr>
        <w:t>万元），项目支出10545.8万元</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楷体" w:hAnsi="楷体" w:eastAsia="楷体" w:cs="楷体"/>
          <w:b/>
          <w:bCs/>
          <w:sz w:val="32"/>
          <w:szCs w:val="32"/>
        </w:rPr>
      </w:pPr>
      <w:r>
        <w:rPr>
          <w:rFonts w:hint="eastAsia" w:ascii="仿宋" w:hAnsi="仿宋" w:eastAsia="仿宋" w:cs="仿宋"/>
          <w:sz w:val="32"/>
          <w:szCs w:val="32"/>
          <w:lang w:val="en-US" w:eastAsia="zh-CN"/>
        </w:rPr>
        <w:t>2020年“三公”实际支出35.32万元，较2019年增加了3.62万元。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（二）当年部门履职总体目标、工作任务。</w:t>
      </w:r>
    </w:p>
    <w:p>
      <w:pPr>
        <w:spacing w:line="560" w:lineRule="exact"/>
        <w:ind w:firstLine="640" w:firstLineChars="200"/>
        <w:rPr>
          <w:rFonts w:hint="eastAsia" w:ascii="仿宋_GB2312" w:hAnsi="仿宋" w:eastAsia="仿宋_GB2312"/>
          <w:sz w:val="32"/>
          <w:szCs w:val="32"/>
          <w:lang w:eastAsia="zh-CN"/>
        </w:rPr>
      </w:pPr>
      <w:r>
        <w:rPr>
          <w:rFonts w:hint="eastAsia" w:ascii="仿宋_GB2312" w:hAnsi="仿宋" w:eastAsia="仿宋_GB2312" w:cs="Arial"/>
          <w:sz w:val="32"/>
          <w:szCs w:val="32"/>
        </w:rPr>
        <w:t>202</w:t>
      </w:r>
      <w:r>
        <w:rPr>
          <w:rFonts w:hint="eastAsia" w:ascii="仿宋_GB2312" w:hAnsi="仿宋" w:eastAsia="仿宋_GB2312" w:cs="Arial"/>
          <w:sz w:val="32"/>
          <w:szCs w:val="32"/>
          <w:lang w:val="en-US" w:eastAsia="zh-CN"/>
        </w:rPr>
        <w:t>0</w:t>
      </w:r>
      <w:r>
        <w:rPr>
          <w:rFonts w:hint="eastAsia" w:ascii="仿宋_GB2312" w:hAnsi="仿宋" w:eastAsia="仿宋_GB2312" w:cs="Arial"/>
          <w:sz w:val="32"/>
          <w:szCs w:val="32"/>
        </w:rPr>
        <w:t>年</w:t>
      </w:r>
      <w:r>
        <w:rPr>
          <w:rFonts w:hint="eastAsia" w:ascii="仿宋_GB2312" w:hAnsi="仿宋" w:eastAsia="仿宋_GB2312" w:cs="Arial"/>
          <w:sz w:val="32"/>
          <w:szCs w:val="32"/>
          <w:lang w:eastAsia="zh-CN"/>
        </w:rPr>
        <w:t>总体目标是</w:t>
      </w:r>
      <w:r>
        <w:rPr>
          <w:rFonts w:hint="eastAsia" w:ascii="仿宋_GB2312" w:hAnsi="仿宋" w:eastAsia="仿宋_GB2312" w:cs="Arial"/>
          <w:sz w:val="32"/>
          <w:szCs w:val="32"/>
        </w:rPr>
        <w:t>在龙南市委、市政府</w:t>
      </w:r>
      <w:r>
        <w:rPr>
          <w:rFonts w:hint="eastAsia" w:ascii="仿宋_GB2312" w:hAnsi="仿宋" w:eastAsia="仿宋_GB2312"/>
          <w:sz w:val="32"/>
          <w:szCs w:val="32"/>
        </w:rPr>
        <w:t>和</w:t>
      </w:r>
      <w:r>
        <w:rPr>
          <w:rFonts w:hint="eastAsia" w:ascii="仿宋_GB2312" w:hAnsi="仿宋" w:eastAsia="仿宋_GB2312" w:cs="Arial"/>
          <w:sz w:val="32"/>
          <w:szCs w:val="32"/>
        </w:rPr>
        <w:t>赣州</w:t>
      </w:r>
      <w:r>
        <w:rPr>
          <w:rFonts w:hint="eastAsia" w:ascii="仿宋_GB2312" w:hAnsi="仿宋" w:eastAsia="仿宋_GB2312" w:cs="Arial"/>
          <w:sz w:val="32"/>
          <w:szCs w:val="32"/>
          <w:lang w:eastAsia="zh-CN"/>
        </w:rPr>
        <w:t>市自然资源局本级</w:t>
      </w:r>
      <w:r>
        <w:rPr>
          <w:rFonts w:hint="eastAsia" w:ascii="仿宋_GB2312" w:hAnsi="仿宋" w:eastAsia="仿宋_GB2312"/>
          <w:sz w:val="32"/>
          <w:szCs w:val="32"/>
        </w:rPr>
        <w:t>的正确领导下，全面推进自然资源各项重点工作，为建设“党建强、产业旺、城乡美、百姓福”的明珠市贡献力量</w:t>
      </w:r>
      <w:r>
        <w:rPr>
          <w:rFonts w:hint="eastAsia" w:ascii="仿宋_GB2312" w:hAnsi="仿宋" w:eastAsia="仿宋_GB2312"/>
          <w:sz w:val="32"/>
          <w:szCs w:val="32"/>
          <w:lang w:eastAsia="zh-CN"/>
        </w:rPr>
        <w:t>。具体工作任务有以下几个方面：</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（1）</w:t>
      </w:r>
      <w:r>
        <w:rPr>
          <w:rFonts w:hint="eastAsia" w:ascii="仿宋_GB2312" w:hAnsi="仿宋_GB2312" w:eastAsia="仿宋_GB2312" w:cs="仿宋_GB2312"/>
          <w:b/>
          <w:bCs/>
          <w:sz w:val="32"/>
          <w:szCs w:val="32"/>
          <w:lang w:eastAsia="zh-CN"/>
        </w:rPr>
        <w:t>城乡规划工作。一是</w:t>
      </w:r>
      <w:r>
        <w:rPr>
          <w:rFonts w:hint="eastAsia" w:ascii="仿宋_GB2312" w:hAnsi="仿宋_GB2312" w:eastAsia="仿宋_GB2312" w:cs="仿宋_GB2312"/>
          <w:sz w:val="32"/>
          <w:szCs w:val="32"/>
          <w:lang w:eastAsia="zh-CN"/>
        </w:rPr>
        <w:t>全力做好国土空间规划“三区三线”试划工作，加快构建国土空间规划体系；</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开展龙南市土地利用总体规划方案（2006-2020年）延续工作，保障我市“十四五”近期重大项目用地；</w:t>
      </w: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lang w:eastAsia="zh-CN"/>
        </w:rPr>
        <w:t>村镇规划编制有序启动。启动里仁镇、杨村镇、武当镇、临塘乡、桃江乡、渡江镇等6个乡镇国土空间规划编制工作，15个村庄的多规合一实用性村庄规划编制工作。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）用地报批工作。</w:t>
      </w:r>
      <w:r>
        <w:rPr>
          <w:rFonts w:hint="eastAsia" w:ascii="仿宋_GB2312" w:hAnsi="仿宋_GB2312" w:eastAsia="仿宋_GB2312" w:cs="仿宋_GB2312"/>
          <w:sz w:val="32"/>
          <w:szCs w:val="32"/>
          <w:lang w:eastAsia="zh-CN"/>
        </w:rPr>
        <w:t>充分保障龙南区市重大项目用地。保障我市道氏、嘉元、博钰、宇宙项目、阳明中学、金豪、省天然气管网工程等重大项目落地。</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）耕地保护工作。</w:t>
      </w:r>
      <w:r>
        <w:rPr>
          <w:rFonts w:hint="eastAsia" w:ascii="仿宋_GB2312" w:hAnsi="仿宋_GB2312" w:eastAsia="仿宋_GB2312" w:cs="仿宋_GB2312"/>
          <w:b w:val="0"/>
          <w:bCs w:val="0"/>
          <w:sz w:val="32"/>
          <w:szCs w:val="32"/>
          <w:lang w:eastAsia="zh-CN"/>
        </w:rPr>
        <w:t>及时整改</w:t>
      </w:r>
      <w:r>
        <w:rPr>
          <w:rFonts w:hint="eastAsia" w:ascii="仿宋_GB2312" w:hAnsi="仿宋_GB2312" w:eastAsia="仿宋_GB2312" w:cs="仿宋_GB2312"/>
          <w:sz w:val="32"/>
          <w:szCs w:val="32"/>
          <w:lang w:eastAsia="zh-CN"/>
        </w:rPr>
        <w:t>我市202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eastAsia="zh-CN"/>
        </w:rPr>
        <w:t>年上半年第一批次耕地卫片疑似问题图斑。</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4</w:t>
      </w:r>
      <w:r>
        <w:rPr>
          <w:rFonts w:hint="eastAsia" w:ascii="仿宋_GB2312" w:hAnsi="仿宋_GB2312" w:eastAsia="仿宋_GB2312" w:cs="仿宋_GB2312"/>
          <w:b/>
          <w:bCs/>
          <w:sz w:val="32"/>
          <w:szCs w:val="32"/>
          <w:lang w:eastAsia="zh-CN"/>
        </w:rPr>
        <w:t>）土地出让。</w:t>
      </w:r>
      <w:r>
        <w:rPr>
          <w:rFonts w:hint="eastAsia" w:ascii="仿宋_GB2312" w:hAnsi="仿宋_GB2312" w:eastAsia="仿宋_GB2312" w:cs="仿宋_GB2312"/>
          <w:sz w:val="32"/>
          <w:szCs w:val="32"/>
          <w:lang w:eastAsia="zh-CN"/>
        </w:rPr>
        <w:t>在土地市场大环境整体冷淡的情况下实现出让面积及价款稳中有升，有力保障重大项目用地需求。</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5</w:t>
      </w:r>
      <w:r>
        <w:rPr>
          <w:rFonts w:hint="eastAsia" w:ascii="仿宋_GB2312" w:hAnsi="仿宋_GB2312" w:eastAsia="仿宋_GB2312" w:cs="仿宋_GB2312"/>
          <w:b/>
          <w:bCs/>
          <w:sz w:val="32"/>
          <w:szCs w:val="32"/>
          <w:lang w:eastAsia="zh-CN"/>
        </w:rPr>
        <w:t>）土地节约集约利用。</w:t>
      </w:r>
      <w:r>
        <w:rPr>
          <w:rFonts w:hint="eastAsia" w:ascii="仿宋_GB2312" w:hAnsi="仿宋_GB2312" w:eastAsia="仿宋_GB2312" w:cs="仿宋_GB2312"/>
          <w:b w:val="0"/>
          <w:bCs w:val="0"/>
          <w:sz w:val="32"/>
          <w:szCs w:val="32"/>
          <w:lang w:eastAsia="zh-CN"/>
        </w:rPr>
        <w:t>坚决落实最严格的耕地保护制度和最严格的节约集约用地制度，服务龙南市经济社会发展，助推决胜全面建成小康社会、建设强旺美福明珠市，进一步推进土地整治补充耕地和批而未用土地消化工作。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6</w:t>
      </w:r>
      <w:r>
        <w:rPr>
          <w:rFonts w:hint="eastAsia" w:ascii="仿宋_GB2312" w:hAnsi="仿宋_GB2312" w:eastAsia="仿宋_GB2312" w:cs="仿宋_GB2312"/>
          <w:b/>
          <w:bCs/>
          <w:sz w:val="32"/>
          <w:szCs w:val="32"/>
          <w:lang w:eastAsia="zh-CN"/>
        </w:rPr>
        <w:t>）基础调查。</w:t>
      </w:r>
      <w:r>
        <w:rPr>
          <w:rFonts w:hint="eastAsia" w:ascii="仿宋_GB2312" w:hAnsi="仿宋_GB2312" w:eastAsia="仿宋_GB2312" w:cs="仿宋_GB2312"/>
          <w:sz w:val="32"/>
          <w:szCs w:val="32"/>
          <w:lang w:eastAsia="zh-CN"/>
        </w:rPr>
        <w:t>一是我市三调整个成果通过省厅组织的验收。二是2020年度国土变更调查工作通过国家核查。三是完成我市城镇地籍调查全市城镇范围内的影像（模型）成果的后期处理，检查结果验收合格。四是自然资源统一确权登记工作。</w:t>
      </w:r>
    </w:p>
    <w:p>
      <w:pPr>
        <w:pStyle w:val="2"/>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baseline"/>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7</w:t>
      </w:r>
      <w:r>
        <w:rPr>
          <w:rFonts w:hint="eastAsia" w:ascii="仿宋_GB2312" w:hAnsi="仿宋_GB2312" w:eastAsia="仿宋_GB2312" w:cs="仿宋_GB2312"/>
          <w:b/>
          <w:bCs/>
          <w:sz w:val="32"/>
          <w:szCs w:val="32"/>
          <w:lang w:eastAsia="zh-CN"/>
        </w:rPr>
        <w:t>）矿产资源开发利用工作。</w:t>
      </w:r>
      <w:r>
        <w:rPr>
          <w:rFonts w:hint="eastAsia" w:ascii="仿宋_GB2312" w:hAnsi="仿宋_GB2312" w:eastAsia="仿宋_GB2312" w:cs="仿宋_GB2312"/>
          <w:b w:val="0"/>
          <w:bCs w:val="0"/>
          <w:sz w:val="32"/>
          <w:szCs w:val="32"/>
          <w:lang w:eastAsia="zh-CN"/>
        </w:rPr>
        <w:t>做好矿矿产资源开发利用工作，致力于资源可持续发展，对矿产资源进行多元化开发，是矿产资源得到有效保护，提高矿产资源利用率。</w:t>
      </w:r>
    </w:p>
    <w:p>
      <w:pPr>
        <w:pStyle w:val="2"/>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8</w:t>
      </w:r>
      <w:r>
        <w:rPr>
          <w:rFonts w:hint="eastAsia" w:ascii="仿宋_GB2312" w:hAnsi="仿宋_GB2312" w:eastAsia="仿宋_GB2312" w:cs="仿宋_GB2312"/>
          <w:b/>
          <w:bCs/>
          <w:sz w:val="32"/>
          <w:szCs w:val="32"/>
          <w:lang w:eastAsia="zh-CN"/>
        </w:rPr>
        <w:t>）国土空间生态修复。</w:t>
      </w:r>
      <w:r>
        <w:rPr>
          <w:rFonts w:hint="eastAsia" w:ascii="仿宋_GB2312" w:hAnsi="仿宋" w:eastAsia="仿宋_GB2312" w:cs="Arial"/>
          <w:sz w:val="32"/>
          <w:szCs w:val="32"/>
        </w:rPr>
        <w:t>抓紧落实矿山治理、绿色矿山、生态文明建设任务，完成对龙南县兴龙采石场、龙南县南亨生鑫采石场、龙南县隆耀采石场3个矿山绿色矿山建设目标。督促各矿山加大生态环境治理保证金的缴存力度</w:t>
      </w:r>
      <w:r>
        <w:rPr>
          <w:rFonts w:hint="eastAsia" w:ascii="仿宋_GB2312" w:hAnsi="仿宋_GB2312" w:eastAsia="仿宋_GB2312" w:cs="仿宋_GB231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baseline"/>
        <w:rPr>
          <w:rFonts w:hint="eastAsia"/>
          <w:lang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9</w:t>
      </w:r>
      <w:r>
        <w:rPr>
          <w:rFonts w:hint="eastAsia" w:ascii="仿宋_GB2312" w:hAnsi="仿宋_GB2312" w:eastAsia="仿宋_GB2312" w:cs="仿宋_GB2312"/>
          <w:b/>
          <w:bCs/>
          <w:sz w:val="32"/>
          <w:szCs w:val="32"/>
          <w:lang w:eastAsia="zh-CN"/>
        </w:rPr>
        <w:t>）地质灾害防治。一是</w:t>
      </w:r>
      <w:r>
        <w:rPr>
          <w:rFonts w:hint="eastAsia" w:ascii="仿宋_GB2312" w:hAnsi="仿宋_GB2312" w:eastAsia="仿宋_GB2312" w:cs="仿宋_GB2312"/>
          <w:sz w:val="32"/>
          <w:szCs w:val="32"/>
          <w:lang w:eastAsia="zh-CN"/>
        </w:rPr>
        <w:t>根据上级部署安排在汛期前全面完成全市422个地质灾害隐患点调查核实，该项工作需要投入较大的人力、物力，目前已聘请核工业赣州勘察院正在进行核查。</w:t>
      </w: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lang w:eastAsia="zh-CN"/>
        </w:rPr>
        <w:t>对全市山区丘陵地带农村切坡建房1948个点进行核查，目前已组织核工业赣州勘察院完成核查工作。三是加强对全市工业园区、保障房等区域防治工程边坡稳定情况进行检查，发出6份整改通知书责令对发现的问题进行整改，目前已全部整改到位。四是组织召开了全市地质灾害防治工作动员部署暨业务培训会，全市各乡镇分管地质灾害防治工作领导、地质灾害防治办主任、各村（社区）负责人、群测群防员等共217人参会；组织相关部门开展应急演练1次，参演人数50人；积极开展防灾宣传工作，开展了6次防灾宣传工作，累计发放防灾宣传单2200份。</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rPr>
      </w:pPr>
      <w:r>
        <w:rPr>
          <w:rFonts w:hint="eastAsia" w:ascii="楷体" w:hAnsi="楷体" w:eastAsia="楷体" w:cs="楷体"/>
          <w:b/>
          <w:bCs/>
          <w:sz w:val="32"/>
          <w:szCs w:val="32"/>
        </w:rPr>
        <w:t>当年部门年度整体支出绩效目标。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2020年，</w:t>
      </w:r>
      <w:r>
        <w:rPr>
          <w:rFonts w:hint="eastAsia" w:ascii="仿宋" w:hAnsi="仿宋" w:eastAsia="仿宋" w:cs="仿宋"/>
          <w:sz w:val="32"/>
          <w:szCs w:val="32"/>
          <w:highlight w:val="none"/>
          <w:lang w:eastAsia="zh-CN"/>
        </w:rPr>
        <w:t>市自然资源局本级</w:t>
      </w:r>
      <w:r>
        <w:rPr>
          <w:rFonts w:hint="eastAsia" w:ascii="仿宋" w:hAnsi="仿宋" w:eastAsia="仿宋" w:cs="仿宋"/>
          <w:sz w:val="32"/>
          <w:szCs w:val="32"/>
          <w:highlight w:val="none"/>
        </w:rPr>
        <w:t>不断强化政策落实，</w:t>
      </w:r>
      <w:r>
        <w:rPr>
          <w:rFonts w:hint="eastAsia" w:ascii="仿宋" w:hAnsi="仿宋" w:eastAsia="仿宋" w:cs="仿宋"/>
          <w:sz w:val="32"/>
          <w:szCs w:val="32"/>
          <w:highlight w:val="none"/>
          <w:lang w:eastAsia="zh-CN"/>
        </w:rPr>
        <w:t>制定年度工作目标和任务，对总目标进行责任细化分解，将各项工作落实到各业务分管领导和干部上，力争圆满完成整体工作目标</w:t>
      </w:r>
      <w:r>
        <w:rPr>
          <w:rFonts w:hint="eastAsia" w:ascii="仿宋" w:hAnsi="仿宋" w:eastAsia="仿宋" w:cs="仿宋"/>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ascii="仿宋" w:hAnsi="仿宋" w:eastAsia="仿宋" w:cs="仿宋"/>
          <w:color w:val="000000"/>
          <w:kern w:val="0"/>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rPr>
        <w:t>保障龙南区</w:t>
      </w:r>
      <w:r>
        <w:rPr>
          <w:rFonts w:hint="eastAsia" w:ascii="仿宋" w:hAnsi="仿宋" w:eastAsia="仿宋" w:cs="仿宋"/>
          <w:sz w:val="32"/>
          <w:szCs w:val="32"/>
          <w:highlight w:val="none"/>
          <w:lang w:val="en-US" w:eastAsia="zh-CN"/>
        </w:rPr>
        <w:t>市</w:t>
      </w:r>
      <w:r>
        <w:rPr>
          <w:rFonts w:hint="eastAsia" w:ascii="仿宋" w:hAnsi="仿宋" w:eastAsia="仿宋" w:cs="仿宋"/>
          <w:sz w:val="32"/>
          <w:szCs w:val="32"/>
          <w:highlight w:val="none"/>
        </w:rPr>
        <w:t>重点项目建设用地，组织了2019年度第1</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第2</w:t>
      </w:r>
      <w:r>
        <w:rPr>
          <w:rFonts w:hint="eastAsia" w:ascii="仿宋" w:hAnsi="仿宋" w:eastAsia="仿宋" w:cs="仿宋"/>
          <w:sz w:val="32"/>
          <w:szCs w:val="32"/>
          <w:highlight w:val="none"/>
        </w:rPr>
        <w:t>批次城市建设用地并上报省政府审批，经省政府批准，省自然资源厅同意将该批次用地转为国有建设用地</w:t>
      </w:r>
      <w:r>
        <w:rPr>
          <w:rFonts w:ascii="仿宋" w:hAnsi="仿宋" w:eastAsia="仿宋" w:cs="仿宋"/>
          <w:color w:val="000000"/>
          <w:kern w:val="0"/>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保障龙南区县重点项目建设用地，自然资源局组织了2019年度第1批次集镇建设用地并上报省政府审批，经省政府批准，省自然资源厅同意将该批次用地转为国有建设用地。</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3。保障大广高速南康至龙南段项目依法依规用地，落实在龙南境内的占补平衡。</w:t>
      </w:r>
    </w:p>
    <w:p>
      <w:pPr>
        <w:pStyle w:val="2"/>
        <w:numPr>
          <w:ilvl w:val="0"/>
          <w:numId w:val="0"/>
        </w:numPr>
        <w:ind w:firstLine="640" w:firstLineChars="200"/>
        <w:rPr>
          <w:rFonts w:hint="eastAsia"/>
          <w:lang w:val="en-US" w:eastAsia="zh-CN"/>
        </w:rPr>
      </w:pPr>
      <w:r>
        <w:rPr>
          <w:rFonts w:hint="eastAsia" w:ascii="仿宋_GB2312" w:hAnsi="仿宋_GB2312" w:eastAsia="仿宋_GB2312" w:cs="仿宋_GB2312"/>
          <w:sz w:val="32"/>
          <w:szCs w:val="32"/>
          <w:lang w:val="en-US" w:eastAsia="zh-CN"/>
        </w:rPr>
        <w:t>4。</w:t>
      </w:r>
      <w:r>
        <w:rPr>
          <w:rFonts w:hint="eastAsia" w:ascii="宋体" w:hAnsi="宋体" w:eastAsia="仿宋_GB2312"/>
          <w:b w:val="0"/>
          <w:bCs w:val="0"/>
          <w:sz w:val="32"/>
          <w:szCs w:val="32"/>
          <w:lang w:val="en-US" w:eastAsia="zh-CN"/>
        </w:rPr>
        <w:t>完成《</w:t>
      </w:r>
      <w:r>
        <w:rPr>
          <w:rFonts w:hint="eastAsia" w:ascii="宋体" w:hAnsi="宋体" w:eastAsia="仿宋_GB2312"/>
          <w:b w:val="0"/>
          <w:bCs w:val="0"/>
          <w:sz w:val="32"/>
          <w:szCs w:val="32"/>
        </w:rPr>
        <w:t>龙南</w:t>
      </w:r>
      <w:r>
        <w:rPr>
          <w:rFonts w:hint="eastAsia" w:ascii="宋体" w:hAnsi="宋体" w:eastAsia="仿宋_GB2312"/>
          <w:b w:val="0"/>
          <w:bCs w:val="0"/>
          <w:sz w:val="32"/>
          <w:szCs w:val="32"/>
          <w:lang w:eastAsia="zh-CN"/>
        </w:rPr>
        <w:t>市</w:t>
      </w:r>
      <w:r>
        <w:rPr>
          <w:rFonts w:hint="eastAsia" w:ascii="宋体" w:hAnsi="宋体" w:eastAsia="仿宋_GB2312"/>
          <w:b w:val="0"/>
          <w:bCs w:val="0"/>
          <w:sz w:val="32"/>
          <w:szCs w:val="32"/>
        </w:rPr>
        <w:t>国土空间总体规划（2020</w:t>
      </w:r>
      <w:r>
        <w:rPr>
          <w:rFonts w:hint="eastAsia" w:ascii="宋体" w:hAnsi="宋体" w:eastAsia="仿宋_GB2312"/>
          <w:b w:val="0"/>
          <w:bCs w:val="0"/>
          <w:sz w:val="32"/>
          <w:szCs w:val="32"/>
          <w:lang w:eastAsia="zh-CN"/>
        </w:rPr>
        <w:t>—</w:t>
      </w:r>
      <w:r>
        <w:rPr>
          <w:rFonts w:hint="eastAsia" w:ascii="宋体" w:hAnsi="宋体" w:eastAsia="仿宋_GB2312"/>
          <w:b w:val="0"/>
          <w:bCs w:val="0"/>
          <w:sz w:val="32"/>
          <w:szCs w:val="32"/>
        </w:rPr>
        <w:t>2035年）》</w:t>
      </w:r>
      <w:r>
        <w:rPr>
          <w:rFonts w:hint="eastAsia" w:ascii="宋体" w:hAnsi="宋体" w:eastAsia="仿宋_GB2312"/>
          <w:b w:val="0"/>
          <w:bCs w:val="0"/>
          <w:sz w:val="32"/>
          <w:szCs w:val="32"/>
          <w:lang w:eastAsia="zh-CN"/>
        </w:rPr>
        <w:t>编制工作。</w:t>
      </w:r>
      <w:r>
        <w:rPr>
          <w:rFonts w:hint="eastAsia" w:ascii="宋体" w:hAnsi="宋体" w:eastAsia="仿宋_GB2312"/>
          <w:b w:val="0"/>
          <w:bCs w:val="0"/>
          <w:sz w:val="32"/>
          <w:szCs w:val="32"/>
        </w:rPr>
        <w:t>将国土空间总体规划成果按法定程序上报市政府审核，按法定程序上报省政府审批。</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color w:val="auto"/>
          <w:sz w:val="32"/>
          <w:szCs w:val="32"/>
          <w:highlight w:val="none"/>
          <w:lang w:val="en-US" w:eastAsia="zh-CN"/>
        </w:rPr>
      </w:pPr>
      <w:r>
        <w:rPr>
          <w:rFonts w:hint="eastAsia" w:ascii="仿宋" w:hAnsi="仿宋" w:eastAsia="仿宋" w:cs="仿宋"/>
          <w:sz w:val="32"/>
          <w:szCs w:val="32"/>
          <w:highlight w:val="none"/>
          <w:lang w:val="en-US" w:eastAsia="zh-CN"/>
        </w:rPr>
        <w:t>5。</w:t>
      </w:r>
      <w:r>
        <w:rPr>
          <w:rFonts w:hint="eastAsia" w:ascii="仿宋" w:hAnsi="仿宋" w:eastAsia="仿宋" w:cs="仿宋"/>
          <w:b w:val="0"/>
          <w:bCs w:val="0"/>
          <w:color w:val="auto"/>
          <w:sz w:val="32"/>
          <w:szCs w:val="32"/>
          <w:highlight w:val="none"/>
        </w:rPr>
        <w:t>加快推进部门信息共享，促进不动产登记关联信息互联互通，打破“信息孤岛 “，让信息多跑路、群众少跑腿，方便企业和群众办事创业。形成“外网受理”、“内网办理”的全方位服务，最终实现 “只跑一次 ”或 “一次不跑”。</w:t>
      </w:r>
      <w:r>
        <w:rPr>
          <w:rFonts w:hint="eastAsia" w:ascii="仿宋" w:hAnsi="仿宋" w:eastAsia="仿宋" w:cs="仿宋"/>
          <w:b w:val="0"/>
          <w:bCs w:val="0"/>
          <w:color w:val="auto"/>
          <w:sz w:val="32"/>
          <w:szCs w:val="32"/>
          <w:highlight w:val="none"/>
          <w:lang w:val="en-US" w:eastAsia="zh-CN"/>
        </w:rPr>
        <w:t>实现“一站式”服务。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 w:hAnsi="仿宋" w:eastAsia="仿宋" w:cs="仿宋"/>
          <w:sz w:val="32"/>
          <w:szCs w:val="32"/>
          <w:highlight w:val="none"/>
          <w:lang w:val="en-US" w:eastAsia="zh-CN"/>
        </w:rPr>
        <w:t>6。</w:t>
      </w:r>
      <w:r>
        <w:rPr>
          <w:rFonts w:hint="eastAsia" w:ascii="仿宋_GB2312" w:hAnsi="仿宋_GB2312" w:eastAsia="仿宋_GB2312" w:cs="仿宋_GB2312"/>
          <w:sz w:val="32"/>
          <w:szCs w:val="32"/>
          <w:highlight w:val="none"/>
        </w:rPr>
        <w:t>为了进一步加快我</w:t>
      </w:r>
      <w:r>
        <w:rPr>
          <w:rFonts w:hint="eastAsia" w:ascii="仿宋_GB2312" w:hAnsi="仿宋_GB2312" w:eastAsia="仿宋_GB2312" w:cs="仿宋_GB2312"/>
          <w:sz w:val="32"/>
          <w:szCs w:val="32"/>
          <w:highlight w:val="none"/>
          <w:lang w:val="en-US" w:eastAsia="zh-CN"/>
        </w:rPr>
        <w:t>市</w:t>
      </w:r>
      <w:r>
        <w:rPr>
          <w:rFonts w:hint="eastAsia" w:ascii="仿宋_GB2312" w:hAnsi="仿宋_GB2312" w:eastAsia="仿宋_GB2312" w:cs="仿宋_GB2312"/>
          <w:sz w:val="32"/>
          <w:szCs w:val="32"/>
          <w:highlight w:val="none"/>
        </w:rPr>
        <w:t>城市建设，</w:t>
      </w:r>
      <w:r>
        <w:rPr>
          <w:rFonts w:hint="eastAsia" w:ascii="仿宋_GB2312" w:hAnsi="仿宋_GB2312" w:eastAsia="仿宋_GB2312" w:cs="仿宋_GB2312"/>
          <w:sz w:val="32"/>
          <w:szCs w:val="32"/>
          <w:highlight w:val="none"/>
          <w:lang w:val="en-US" w:eastAsia="zh-CN"/>
        </w:rPr>
        <w:t>增加财政收入，成功出让</w:t>
      </w:r>
      <w:r>
        <w:rPr>
          <w:rFonts w:hint="eastAsia" w:ascii="仿宋_GB2312" w:hAnsi="仿宋_GB2312" w:eastAsia="仿宋_GB2312" w:cs="仿宋_GB2312"/>
          <w:sz w:val="32"/>
          <w:szCs w:val="32"/>
          <w:highlight w:val="none"/>
        </w:rPr>
        <w:t>濂江南岸原农科所地块国有建设用地使用权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组织开展濂江南岸原农科所地块电力管线工作。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320" w:rightChars="0" w:firstLine="640" w:firstLineChars="200"/>
        <w:jc w:val="left"/>
        <w:textAlignment w:val="auto"/>
        <w:rPr>
          <w:rFonts w:hint="eastAsia" w:ascii="仿宋" w:hAnsi="仿宋" w:eastAsia="仿宋" w:cs="仿宋"/>
          <w:sz w:val="32"/>
          <w:szCs w:val="32"/>
          <w:highlight w:val="yellow"/>
          <w:lang w:val="en-US" w:eastAsia="zh-CN"/>
        </w:rPr>
      </w:pPr>
      <w:r>
        <w:rPr>
          <w:rFonts w:hint="eastAsia" w:ascii="仿宋" w:hAnsi="仿宋" w:eastAsia="仿宋" w:cs="仿宋"/>
          <w:sz w:val="32"/>
          <w:szCs w:val="32"/>
          <w:highlight w:val="none"/>
          <w:lang w:val="en-US" w:eastAsia="zh-CN"/>
        </w:rPr>
        <w:t>7。</w:t>
      </w:r>
      <w:r>
        <w:rPr>
          <w:rFonts w:hint="eastAsia" w:ascii="仿宋_GB2312" w:eastAsia="仿宋_GB2312"/>
          <w:sz w:val="32"/>
          <w:szCs w:val="32"/>
          <w:highlight w:val="none"/>
          <w:lang w:val="en-US" w:eastAsia="zh-CN"/>
        </w:rPr>
        <w:t>切实</w:t>
      </w:r>
      <w:r>
        <w:rPr>
          <w:rFonts w:hint="eastAsia" w:ascii="仿宋_GB2312" w:eastAsia="仿宋_GB2312"/>
          <w:sz w:val="32"/>
          <w:szCs w:val="32"/>
          <w:lang w:val="en-US" w:eastAsia="zh-CN"/>
        </w:rPr>
        <w:t>做好城乡建设用地增减挂钩试点工作，优化土地利用结构和空间布局，促进耕地保护和集约节约用地，在龙南镇等14个乡（镇）实施城乡建设用地增减挂钩项目项目。</w:t>
      </w:r>
    </w:p>
    <w:p>
      <w:pPr>
        <w:pStyle w:val="2"/>
        <w:ind w:firstLine="640"/>
        <w:rPr>
          <w:rFonts w:hint="eastAsia" w:ascii="宋体" w:hAnsi="宋体" w:eastAsia="仿宋_GB2312"/>
          <w:b w:val="0"/>
          <w:bCs w:val="0"/>
          <w:sz w:val="32"/>
          <w:szCs w:val="32"/>
        </w:rPr>
      </w:pPr>
      <w:r>
        <w:rPr>
          <w:rFonts w:hint="eastAsia" w:ascii="仿宋" w:hAnsi="仿宋" w:eastAsia="仿宋" w:cs="仿宋"/>
          <w:sz w:val="32"/>
          <w:szCs w:val="32"/>
          <w:highlight w:val="none"/>
          <w:lang w:val="en-US" w:eastAsia="zh-CN"/>
        </w:rPr>
        <w:t>8。</w:t>
      </w:r>
      <w:r>
        <w:rPr>
          <w:rFonts w:hint="eastAsia" w:ascii="仿宋_GB2312" w:hAnsi="仿宋_GB2312" w:eastAsia="仿宋_GB2312" w:cs="仿宋_GB2312"/>
          <w:sz w:val="32"/>
          <w:szCs w:val="32"/>
          <w:lang w:val="en-US" w:eastAsia="zh-CN"/>
        </w:rPr>
        <w:t>完成地质勘查工作、《龙南市程龙镇石磨墩建筑用砂岩资源储量地质报告》、《龙南市程龙镇石磨墩建筑用砂岩矿产资源开发利用、地质环境恢复治理与土地复垦方案》通过专家评审，完成《新设龙南县程龙镇石磨墩建筑用石料采矿权项目社会稳定风险评估》编制工作并通过政法委审查同意备案，完成《江西省龙南市石磨墩矿区建筑用砂岩矿采矿权出让收益评估报告》编制工作。</w:t>
      </w:r>
    </w:p>
    <w:p>
      <w:pPr>
        <w:numPr>
          <w:ilvl w:val="0"/>
          <w:numId w:val="0"/>
        </w:numPr>
        <w:ind w:firstLine="640" w:firstLineChars="200"/>
        <w:rPr>
          <w:rFonts w:hint="eastAsia" w:ascii="仿宋" w:hAnsi="仿宋" w:eastAsia="仿宋" w:cs="仿宋"/>
          <w:sz w:val="32"/>
          <w:szCs w:val="32"/>
          <w:lang w:eastAsia="zh-CN"/>
        </w:rPr>
      </w:pPr>
      <w:r>
        <w:rPr>
          <w:rFonts w:hint="eastAsia" w:hAnsi="宋体" w:eastAsia="仿宋_GB2312"/>
          <w:b w:val="0"/>
          <w:bCs w:val="0"/>
          <w:sz w:val="32"/>
          <w:szCs w:val="32"/>
          <w:lang w:val="en-US" w:eastAsia="zh-CN"/>
        </w:rPr>
        <w:t>9。</w:t>
      </w:r>
      <w:r>
        <w:rPr>
          <w:rFonts w:hint="eastAsia" w:ascii="仿宋" w:hAnsi="仿宋" w:eastAsia="仿宋" w:cs="仿宋"/>
          <w:sz w:val="32"/>
          <w:szCs w:val="32"/>
        </w:rPr>
        <w:t>做好历史文化保护传承工作，加强历史建筑保护，提高历史自觉和文化自信，要求按照住建部历史建筑测绘标准和建档成果要求，对全省范围内已公布的历史建筑进行测绘和建档</w:t>
      </w:r>
      <w:r>
        <w:rPr>
          <w:rFonts w:hint="eastAsia" w:ascii="仿宋" w:hAnsi="仿宋" w:eastAsia="仿宋" w:cs="仿宋"/>
          <w:sz w:val="32"/>
          <w:szCs w:val="32"/>
          <w:lang w:eastAsia="zh-CN"/>
        </w:rPr>
        <w:t>。</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10。</w:t>
      </w:r>
      <w:r>
        <w:rPr>
          <w:rFonts w:hint="eastAsia" w:ascii="仿宋_GB2312" w:hAnsi="仿宋_GB2312" w:eastAsia="仿宋_GB2312" w:cs="仿宋_GB2312"/>
          <w:sz w:val="32"/>
          <w:szCs w:val="32"/>
          <w:lang w:val="en-US" w:eastAsia="zh-CN"/>
        </w:rPr>
        <w:t>依法出让龙南县石人片区C1-1、C1-3地块</w:t>
      </w:r>
      <w:r>
        <w:rPr>
          <w:rFonts w:hint="eastAsia" w:ascii="仿宋_GB2312" w:hAnsi="仿宋_GB2312" w:eastAsia="仿宋_GB2312" w:cs="仿宋_GB2312"/>
          <w:sz w:val="32"/>
          <w:szCs w:val="32"/>
        </w:rPr>
        <w:t>国有建设用地使用权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督促企业尽快缴纳土地出让金，为</w:t>
      </w:r>
      <w:r>
        <w:rPr>
          <w:rFonts w:hint="eastAsia" w:ascii="仿宋_GB2312" w:hAnsi="仿宋_GB2312" w:eastAsia="仿宋_GB2312" w:cs="仿宋_GB2312"/>
          <w:sz w:val="32"/>
          <w:szCs w:val="32"/>
        </w:rPr>
        <w:t>妥善处理该宗地电力管线搬迁问题，</w:t>
      </w:r>
      <w:r>
        <w:rPr>
          <w:rFonts w:hint="eastAsia" w:ascii="仿宋_GB2312" w:hAnsi="仿宋_GB2312" w:eastAsia="仿宋_GB2312" w:cs="仿宋_GB2312"/>
          <w:sz w:val="32"/>
          <w:szCs w:val="32"/>
          <w:lang w:val="en-US" w:eastAsia="zh-CN"/>
        </w:rPr>
        <w:t>我局组织开展石人片区C1-1地块电力管线工作。</w:t>
      </w:r>
    </w:p>
    <w:p>
      <w:pPr>
        <w:pStyle w:val="2"/>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11。</w:t>
      </w:r>
      <w:r>
        <w:rPr>
          <w:rFonts w:hint="eastAsia" w:ascii="仿宋_GB2312" w:hAnsi="仿宋_GB2312" w:eastAsia="仿宋_GB2312" w:cs="仿宋_GB2312"/>
          <w:b w:val="0"/>
          <w:bCs w:val="0"/>
          <w:sz w:val="32"/>
          <w:szCs w:val="32"/>
          <w:lang w:val="en-US" w:eastAsia="zh-CN"/>
        </w:rPr>
        <w:t>贯彻落实2019年中央1号文件“加快推进宅基地使用权确权登记颁证工作，力争2020年基本完成”的要求。2020年，我市在依法依规的前提下，本着“权属合法，界址清楚，面积准确，尊重历史，维护权益”的原则，对符合条件的农村集体成员宅基地和集体建设用地予以确权登记发证，以保障村民合理的住房需求，</w:t>
      </w:r>
      <w:r>
        <w:rPr>
          <w:rFonts w:hint="eastAsia" w:hAnsi="仿宋_GB2312" w:cs="仿宋_GB2312"/>
          <w:b w:val="0"/>
          <w:bCs w:val="0"/>
          <w:sz w:val="32"/>
          <w:szCs w:val="32"/>
          <w:lang w:val="en-US" w:eastAsia="zh-CN"/>
        </w:rPr>
        <w:t>并</w:t>
      </w:r>
      <w:r>
        <w:rPr>
          <w:rFonts w:hint="eastAsia" w:ascii="仿宋_GB2312" w:hAnsi="仿宋_GB2312" w:eastAsia="仿宋_GB2312" w:cs="仿宋_GB2312"/>
          <w:b w:val="0"/>
          <w:bCs w:val="0"/>
          <w:sz w:val="32"/>
          <w:szCs w:val="32"/>
          <w:lang w:val="en-US" w:eastAsia="zh-CN"/>
        </w:rPr>
        <w:t>力争在2020年9月底前我市农村房地一体确权登记发证率达到90%。</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（四）部门预算绩效管理开展情况。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2020年，我局以绩效目标实现为导向，进一步加强制度建设，提升自评质量，预算绩效管理取得新成效。</w:t>
      </w:r>
      <w:r>
        <w:rPr>
          <w:rFonts w:hint="eastAsia" w:ascii="仿宋" w:hAnsi="仿宋" w:eastAsia="仿宋" w:cs="仿宋"/>
          <w:b/>
          <w:bCs/>
          <w:sz w:val="32"/>
          <w:szCs w:val="32"/>
          <w:highlight w:val="none"/>
          <w:lang w:val="en-US" w:eastAsia="zh-CN"/>
        </w:rPr>
        <w:t>一是</w:t>
      </w:r>
      <w:r>
        <w:rPr>
          <w:rFonts w:hint="eastAsia" w:ascii="仿宋" w:hAnsi="仿宋" w:eastAsia="仿宋" w:cs="仿宋"/>
          <w:sz w:val="32"/>
          <w:szCs w:val="32"/>
          <w:highlight w:val="none"/>
          <w:lang w:val="en-US" w:eastAsia="zh-CN"/>
        </w:rPr>
        <w:t>抓好绩效目标编制，及时报送绩效目标；</w:t>
      </w:r>
      <w:r>
        <w:rPr>
          <w:rFonts w:hint="eastAsia" w:ascii="仿宋" w:hAnsi="仿宋" w:eastAsia="仿宋" w:cs="仿宋"/>
          <w:b/>
          <w:bCs/>
          <w:sz w:val="32"/>
          <w:szCs w:val="32"/>
          <w:highlight w:val="none"/>
          <w:lang w:val="en-US" w:eastAsia="zh-CN"/>
        </w:rPr>
        <w:t>二是</w:t>
      </w:r>
      <w:r>
        <w:rPr>
          <w:rFonts w:hint="eastAsia" w:ascii="仿宋" w:hAnsi="仿宋" w:eastAsia="仿宋" w:cs="仿宋"/>
          <w:sz w:val="32"/>
          <w:szCs w:val="32"/>
          <w:highlight w:val="none"/>
          <w:lang w:val="en-US" w:eastAsia="zh-CN"/>
        </w:rPr>
        <w:t>探索绩效跟踪监控，要求加强过程监控；</w:t>
      </w:r>
      <w:r>
        <w:rPr>
          <w:rFonts w:hint="eastAsia" w:ascii="仿宋" w:hAnsi="仿宋" w:eastAsia="仿宋" w:cs="仿宋"/>
          <w:b/>
          <w:bCs/>
          <w:sz w:val="32"/>
          <w:szCs w:val="32"/>
          <w:highlight w:val="none"/>
          <w:lang w:val="en-US" w:eastAsia="zh-CN"/>
        </w:rPr>
        <w:t>三是</w:t>
      </w:r>
      <w:r>
        <w:rPr>
          <w:rFonts w:hint="eastAsia" w:ascii="仿宋" w:hAnsi="仿宋" w:eastAsia="仿宋" w:cs="仿宋"/>
          <w:sz w:val="32"/>
          <w:szCs w:val="32"/>
          <w:highlight w:val="none"/>
          <w:lang w:val="en-US" w:eastAsia="zh-CN"/>
        </w:rPr>
        <w:t>深入开展财政支出绩效评价，对专项资金实施绩效自评和项目核查，在此基础上形成自评报告；</w:t>
      </w:r>
      <w:r>
        <w:rPr>
          <w:rFonts w:hint="eastAsia" w:ascii="仿宋" w:hAnsi="仿宋" w:eastAsia="仿宋" w:cs="仿宋"/>
          <w:b/>
          <w:bCs/>
          <w:sz w:val="32"/>
          <w:szCs w:val="32"/>
          <w:highlight w:val="none"/>
          <w:lang w:val="en-US" w:eastAsia="zh-CN"/>
        </w:rPr>
        <w:t>四是</w:t>
      </w:r>
      <w:r>
        <w:rPr>
          <w:rFonts w:hint="eastAsia" w:ascii="仿宋" w:hAnsi="仿宋" w:eastAsia="仿宋" w:cs="仿宋"/>
          <w:sz w:val="32"/>
          <w:szCs w:val="32"/>
          <w:highlight w:val="none"/>
          <w:lang w:val="en-US" w:eastAsia="zh-CN"/>
        </w:rPr>
        <w:t>强化评价结果运用，组织绩效自评和绩效跟踪监控，对发现的问题及时改进，加强评价结果与项目资金安排的衔接；五是健全绩效管理工作机制，明确职责分工，努力提高了绩效管理工作水平。</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2020年，我局坚持“厉行节约、反对浪费”，把有限的财力用来解决人民群众最关心、最直接、最现实的问题，进一步规范资金审批手续和支付流程，提高资金使用率。</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（五）当年部门预算及执行情况。</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eastAsia="zh-CN"/>
        </w:rPr>
        <w:t>支出总额控制在预算总额以内，除专项预算的追加外，本年部门预算因为单位合作进行了相关事项的调整；财政下达专项经费后，单位及时开展工作，将经费落实到实处，不存在截留或滞留专项资金情况；“三公</w:t>
      </w:r>
      <w:r>
        <w:rPr>
          <w:rFonts w:hint="default" w:ascii="仿宋" w:hAnsi="仿宋" w:eastAsia="仿宋" w:cs="仿宋"/>
          <w:sz w:val="32"/>
          <w:szCs w:val="32"/>
          <w:highlight w:val="none"/>
          <w:lang w:val="en-US" w:eastAsia="zh-CN"/>
        </w:rPr>
        <w:t>”</w:t>
      </w:r>
      <w:r>
        <w:rPr>
          <w:rFonts w:hint="eastAsia" w:ascii="仿宋" w:hAnsi="仿宋" w:eastAsia="仿宋" w:cs="仿宋"/>
          <w:sz w:val="32"/>
          <w:szCs w:val="32"/>
          <w:highlight w:val="none"/>
          <w:lang w:val="en-US" w:eastAsia="zh-CN"/>
        </w:rPr>
        <w:t>经费总体控制较好，未超本年预算。</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二、部门整体支出绩效实现情况</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（一）履职完成情况：从数量、质量、时效等方面归纳反映年度主要计划任务完成情况。</w:t>
      </w:r>
    </w:p>
    <w:p>
      <w:pPr>
        <w:ind w:firstLine="643" w:firstLineChars="200"/>
        <w:rPr>
          <w:rFonts w:ascii="仿宋_GB2312" w:eastAsia="仿宋_GB2312"/>
          <w:sz w:val="32"/>
          <w:szCs w:val="32"/>
          <w:highlight w:val="none"/>
        </w:rPr>
      </w:pPr>
      <w:r>
        <w:rPr>
          <w:rFonts w:hint="eastAsia" w:ascii="仿宋" w:hAnsi="仿宋" w:eastAsia="仿宋" w:cs="仿宋"/>
          <w:b/>
          <w:bCs/>
          <w:sz w:val="32"/>
          <w:szCs w:val="32"/>
          <w:highlight w:val="none"/>
          <w:lang w:val="en-US" w:eastAsia="zh-CN"/>
        </w:rPr>
        <w:t>1。</w:t>
      </w:r>
      <w:r>
        <w:rPr>
          <w:rFonts w:hint="eastAsia" w:ascii="楷体" w:hAnsi="楷体" w:eastAsia="楷体"/>
          <w:sz w:val="32"/>
          <w:szCs w:val="32"/>
          <w:highlight w:val="none"/>
        </w:rPr>
        <w:t>规划引领，完善城镇布局</w:t>
      </w:r>
      <w:r>
        <w:rPr>
          <w:rFonts w:hint="eastAsia" w:ascii="仿宋" w:hAnsi="仿宋" w:eastAsia="仿宋" w:cs="仿宋"/>
          <w:b/>
          <w:bCs/>
          <w:sz w:val="32"/>
          <w:szCs w:val="32"/>
          <w:highlight w:val="none"/>
        </w:rPr>
        <w:t>。</w:t>
      </w:r>
      <w:r>
        <w:rPr>
          <w:rFonts w:hint="eastAsia" w:ascii="仿宋_GB2312" w:eastAsia="仿宋_GB2312"/>
          <w:b/>
          <w:bCs/>
          <w:sz w:val="32"/>
          <w:szCs w:val="32"/>
          <w:highlight w:val="none"/>
        </w:rPr>
        <w:t>一是</w:t>
      </w:r>
      <w:r>
        <w:rPr>
          <w:rFonts w:hint="eastAsia" w:ascii="仿宋_GB2312" w:eastAsia="仿宋_GB2312"/>
          <w:sz w:val="32"/>
          <w:szCs w:val="32"/>
          <w:highlight w:val="none"/>
        </w:rPr>
        <w:t>认真组织规划编制。全面完成“两规融合”工作，促进我市城市总体规划与土地利用总体规划的有机融合。启动生态保护红线评估优化工作，经评估优化，我市共调出建设用地、永久基本农田、矿产资源、人工商品林、重点项目等合计5949</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28公顷，调整比例占生态保护红线总面积的9</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22%，为我市今后经济社会发展预留了较大空间。全面启动《龙南市国土空间总体规划（2020-2035年）》编制工作，科学划定“三区三线”。</w:t>
      </w:r>
      <w:r>
        <w:rPr>
          <w:rFonts w:hint="eastAsia" w:ascii="仿宋_GB2312" w:eastAsia="仿宋_GB2312"/>
          <w:b/>
          <w:bCs/>
          <w:sz w:val="32"/>
          <w:szCs w:val="32"/>
          <w:highlight w:val="none"/>
        </w:rPr>
        <w:t>二是</w:t>
      </w:r>
      <w:r>
        <w:rPr>
          <w:rFonts w:hint="eastAsia" w:ascii="仿宋_GB2312" w:eastAsia="仿宋_GB2312"/>
          <w:sz w:val="32"/>
          <w:szCs w:val="32"/>
          <w:highlight w:val="none"/>
        </w:rPr>
        <w:t>村镇规划体系进一步健全。完成了武当镇新型城镇化示范乡镇建设专项规划、武当镇镇区修建性详细规划、虔心小镇特色小镇专项规划、虔心小镇控制性详细等规划编制工作。完成了村庄规划评估工作，为下一步国土空间规划村庄规划编制工作打下了基础，形成了以农村全域规划、乡镇总控规、村庄规划及相关专项规划为一体的村镇规划体系，实现了村镇规划全覆盖，为国土空间规划过渡期的乡村建设提供了重要依据。</w:t>
      </w:r>
    </w:p>
    <w:p>
      <w:pPr>
        <w:spacing w:line="520" w:lineRule="exact"/>
        <w:ind w:firstLine="643" w:firstLineChars="200"/>
        <w:rPr>
          <w:rFonts w:hint="eastAsia" w:ascii="仿宋_GB2312" w:hAnsi="仿宋" w:eastAsia="仿宋_GB2312"/>
          <w:sz w:val="32"/>
          <w:szCs w:val="32"/>
          <w:highlight w:val="none"/>
        </w:rPr>
      </w:pPr>
      <w:r>
        <w:rPr>
          <w:rFonts w:hint="eastAsia" w:ascii="仿宋" w:hAnsi="仿宋" w:eastAsia="仿宋" w:cs="仿宋"/>
          <w:b/>
          <w:bCs/>
          <w:sz w:val="32"/>
          <w:szCs w:val="32"/>
          <w:highlight w:val="none"/>
          <w:lang w:val="en-US" w:eastAsia="zh-CN"/>
        </w:rPr>
        <w:t>2。</w:t>
      </w:r>
      <w:r>
        <w:rPr>
          <w:rFonts w:hint="eastAsia" w:ascii="楷体" w:hAnsi="楷体" w:eastAsia="楷体"/>
          <w:sz w:val="32"/>
          <w:szCs w:val="32"/>
          <w:highlight w:val="none"/>
        </w:rPr>
        <w:t>围绕重点，保障经济发展</w:t>
      </w:r>
      <w:r>
        <w:rPr>
          <w:rFonts w:hint="eastAsia" w:ascii="楷体" w:hAnsi="楷体" w:eastAsia="楷体"/>
          <w:sz w:val="32"/>
          <w:szCs w:val="32"/>
          <w:highlight w:val="none"/>
          <w:lang w:eastAsia="zh-CN"/>
        </w:rPr>
        <w:t>。</w:t>
      </w:r>
      <w:r>
        <w:rPr>
          <w:rFonts w:hint="eastAsia" w:ascii="仿宋" w:hAnsi="仿宋" w:eastAsia="仿宋" w:cs="仿宋"/>
          <w:b/>
          <w:bCs/>
          <w:sz w:val="30"/>
          <w:szCs w:val="30"/>
          <w:highlight w:val="none"/>
        </w:rPr>
        <w:t>一是</w:t>
      </w:r>
      <w:r>
        <w:rPr>
          <w:rFonts w:hint="eastAsia" w:ascii="仿宋" w:hAnsi="仿宋" w:eastAsia="仿宋" w:cs="仿宋"/>
          <w:sz w:val="30"/>
          <w:szCs w:val="30"/>
          <w:highlight w:val="none"/>
        </w:rPr>
        <w:t>全力争取</w:t>
      </w:r>
      <w:r>
        <w:rPr>
          <w:rFonts w:ascii="仿宋" w:hAnsi="仿宋" w:eastAsia="仿宋" w:cs="仿宋"/>
          <w:sz w:val="30"/>
          <w:szCs w:val="30"/>
          <w:highlight w:val="none"/>
        </w:rPr>
        <w:t>用地</w:t>
      </w:r>
      <w:r>
        <w:rPr>
          <w:rFonts w:hint="eastAsia" w:ascii="仿宋" w:hAnsi="仿宋" w:eastAsia="仿宋" w:cs="仿宋"/>
          <w:sz w:val="30"/>
          <w:szCs w:val="30"/>
          <w:highlight w:val="none"/>
        </w:rPr>
        <w:t>指标</w:t>
      </w:r>
      <w:r>
        <w:rPr>
          <w:rFonts w:ascii="仿宋" w:hAnsi="仿宋" w:eastAsia="仿宋" w:cs="仿宋"/>
          <w:sz w:val="30"/>
          <w:szCs w:val="30"/>
          <w:highlight w:val="none"/>
        </w:rPr>
        <w:t>。20</w:t>
      </w:r>
      <w:r>
        <w:rPr>
          <w:rFonts w:hint="eastAsia" w:ascii="仿宋" w:hAnsi="仿宋" w:eastAsia="仿宋" w:cs="仿宋"/>
          <w:sz w:val="30"/>
          <w:szCs w:val="30"/>
          <w:highlight w:val="none"/>
        </w:rPr>
        <w:t>20今年共取得用地批复2707亩（含去年报批今年取得批复的1732亩），保障我市“五桥十路”、平安驿·龙南客家民俗文化体验地、富康工业园西南片区三期土方平整工程等建设项目。同时，积极对接上级部门，多方协调解决我县耕地占补平衡指标匮乏的难题。</w:t>
      </w:r>
      <w:r>
        <w:rPr>
          <w:rFonts w:hint="eastAsia" w:ascii="仿宋" w:hAnsi="仿宋" w:eastAsia="仿宋" w:cs="仿宋"/>
          <w:b/>
          <w:bCs/>
          <w:sz w:val="30"/>
          <w:szCs w:val="30"/>
          <w:highlight w:val="none"/>
        </w:rPr>
        <w:t>二是</w:t>
      </w:r>
      <w:r>
        <w:rPr>
          <w:rFonts w:ascii="仿宋" w:hAnsi="仿宋" w:eastAsia="仿宋" w:cs="仿宋"/>
          <w:sz w:val="30"/>
          <w:szCs w:val="30"/>
          <w:highlight w:val="none"/>
        </w:rPr>
        <w:t>有序出让供应土地</w:t>
      </w:r>
      <w:r>
        <w:rPr>
          <w:rFonts w:hint="eastAsia" w:ascii="仿宋" w:hAnsi="仿宋" w:eastAsia="仿宋" w:cs="仿宋"/>
          <w:sz w:val="30"/>
          <w:szCs w:val="30"/>
          <w:highlight w:val="none"/>
        </w:rPr>
        <w:t>。</w:t>
      </w:r>
      <w:r>
        <w:rPr>
          <w:rFonts w:hint="eastAsia" w:ascii="仿宋_GB2312" w:eastAsia="仿宋_GB2312"/>
          <w:sz w:val="32"/>
          <w:szCs w:val="32"/>
          <w:highlight w:val="none"/>
        </w:rPr>
        <w:t>2020年1-11月我市</w:t>
      </w:r>
      <w:r>
        <w:rPr>
          <w:rFonts w:hint="eastAsia" w:ascii="仿宋_GB2312" w:hAnsi="仿宋" w:eastAsia="仿宋_GB2312"/>
          <w:sz w:val="32"/>
          <w:szCs w:val="32"/>
          <w:highlight w:val="none"/>
        </w:rPr>
        <w:t>共出让土地23宗，其中9宗房地产用地，出让总面积1775</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63亩，土地出让价款75146</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23万元。</w:t>
      </w:r>
    </w:p>
    <w:p>
      <w:pPr>
        <w:pStyle w:val="2"/>
        <w:numPr>
          <w:ilvl w:val="0"/>
          <w:numId w:val="0"/>
        </w:numPr>
        <w:ind w:firstLine="640" w:firstLineChars="200"/>
        <w:rPr>
          <w:rFonts w:hint="eastAsia" w:ascii="仿宋_GB2312" w:eastAsia="仿宋_GB2312" w:hAnsiTheme="minorHAnsi" w:cstheme="minorBidi"/>
          <w:kern w:val="2"/>
          <w:sz w:val="32"/>
          <w:szCs w:val="32"/>
          <w:highlight w:val="none"/>
          <w:lang w:val="en-US" w:eastAsia="zh-CN" w:bidi="ar-SA"/>
        </w:rPr>
      </w:pPr>
      <w:r>
        <w:rPr>
          <w:rFonts w:hint="eastAsia" w:ascii="楷体" w:hAnsi="楷体" w:eastAsia="楷体"/>
          <w:sz w:val="32"/>
          <w:szCs w:val="32"/>
          <w:highlight w:val="none"/>
          <w:lang w:val="en-US" w:eastAsia="zh-CN"/>
        </w:rPr>
        <w:t>3。</w:t>
      </w:r>
      <w:r>
        <w:rPr>
          <w:rFonts w:hint="eastAsia" w:ascii="楷体" w:hAnsi="楷体" w:eastAsia="楷体"/>
          <w:sz w:val="32"/>
          <w:szCs w:val="32"/>
          <w:highlight w:val="none"/>
        </w:rPr>
        <w:t>促消化，推进节约集约用地</w:t>
      </w:r>
      <w:r>
        <w:rPr>
          <w:rFonts w:hint="eastAsia" w:ascii="楷体" w:hAnsi="楷体" w:eastAsia="楷体"/>
          <w:sz w:val="32"/>
          <w:szCs w:val="32"/>
          <w:highlight w:val="none"/>
          <w:lang w:eastAsia="zh-CN"/>
        </w:rPr>
        <w:t>。</w:t>
      </w:r>
      <w:r>
        <w:rPr>
          <w:rFonts w:hint="eastAsia" w:ascii="仿宋_GB2312" w:eastAsia="仿宋_GB2312" w:hAnsiTheme="minorHAnsi" w:cstheme="minorBidi"/>
          <w:b/>
          <w:bCs/>
          <w:kern w:val="2"/>
          <w:sz w:val="32"/>
          <w:szCs w:val="32"/>
          <w:highlight w:val="none"/>
          <w:lang w:val="en-US" w:eastAsia="zh-CN" w:bidi="ar-SA"/>
        </w:rPr>
        <w:t>一是</w:t>
      </w:r>
      <w:r>
        <w:rPr>
          <w:rFonts w:hint="eastAsia" w:ascii="仿宋_GB2312" w:eastAsia="仿宋_GB2312" w:hAnsiTheme="minorHAnsi" w:cstheme="minorBidi"/>
          <w:kern w:val="2"/>
          <w:sz w:val="32"/>
          <w:szCs w:val="32"/>
          <w:highlight w:val="none"/>
          <w:lang w:val="en-US" w:eastAsia="zh-CN" w:bidi="ar-SA"/>
        </w:rPr>
        <w:t>大力消减批而未用土地。</w:t>
      </w:r>
      <w:bookmarkStart w:id="0" w:name="_GoBack"/>
      <w:bookmarkEnd w:id="0"/>
      <w:r>
        <w:rPr>
          <w:rFonts w:hint="eastAsia" w:ascii="仿宋_GB2312" w:eastAsia="仿宋_GB2312" w:hAnsiTheme="minorHAnsi" w:cstheme="minorBidi"/>
          <w:kern w:val="2"/>
          <w:sz w:val="32"/>
          <w:szCs w:val="32"/>
          <w:highlight w:val="none"/>
          <w:lang w:val="en-US" w:eastAsia="zh-CN" w:bidi="ar-SA"/>
        </w:rPr>
        <w:t>截至目前，经举证省厅审核通过消化批而未用地块20宗，共1254。46亩，剩余批而未用土地面积共5545。95亩，批而未用率降至18。06%，消化周期降至1。7年。消化周期在全市各县区中排名第一，在全省排名第三。</w:t>
      </w:r>
      <w:r>
        <w:rPr>
          <w:rFonts w:hint="eastAsia" w:ascii="仿宋_GB2312" w:eastAsia="仿宋_GB2312" w:hAnsiTheme="minorHAnsi" w:cstheme="minorBidi"/>
          <w:b/>
          <w:bCs/>
          <w:kern w:val="2"/>
          <w:sz w:val="32"/>
          <w:szCs w:val="32"/>
          <w:highlight w:val="none"/>
          <w:lang w:val="en-US" w:eastAsia="zh-CN" w:bidi="ar-SA"/>
        </w:rPr>
        <w:t>二是</w:t>
      </w:r>
      <w:r>
        <w:rPr>
          <w:rFonts w:hint="eastAsia" w:ascii="仿宋_GB2312" w:eastAsia="仿宋_GB2312" w:hAnsiTheme="minorHAnsi" w:cstheme="minorBidi"/>
          <w:kern w:val="2"/>
          <w:sz w:val="32"/>
          <w:szCs w:val="32"/>
          <w:highlight w:val="none"/>
          <w:lang w:val="en-US" w:eastAsia="zh-CN" w:bidi="ar-SA"/>
        </w:rPr>
        <w:t>推行工业用地“标准地+承诺制”供地方式。以标准地模式组织出让位于赣州电子信息科技产业城H2-X10、H2-X11部分地块给龙南市超普电子科技有限公司项目，破解节约集约用地中的体制机制性障碍，建立新型供地和安商服务新模式。</w:t>
      </w:r>
    </w:p>
    <w:p>
      <w:pPr>
        <w:pStyle w:val="2"/>
        <w:numPr>
          <w:ilvl w:val="0"/>
          <w:numId w:val="0"/>
        </w:numPr>
        <w:ind w:firstLine="640" w:firstLineChars="200"/>
        <w:rPr>
          <w:rFonts w:hint="eastAsia" w:ascii="仿宋_GB2312" w:hAnsi="仿宋_GB2312" w:eastAsia="仿宋_GB2312" w:cs="仿宋_GB2312"/>
          <w:bCs/>
          <w:sz w:val="32"/>
          <w:szCs w:val="32"/>
        </w:rPr>
      </w:pPr>
      <w:r>
        <w:rPr>
          <w:rFonts w:hint="eastAsia" w:ascii="仿宋_GB2312" w:eastAsia="仿宋_GB2312" w:hAnsiTheme="minorHAnsi" w:cstheme="minorBidi"/>
          <w:kern w:val="2"/>
          <w:sz w:val="32"/>
          <w:szCs w:val="32"/>
          <w:highlight w:val="none"/>
          <w:lang w:val="en-US" w:eastAsia="zh-CN" w:bidi="ar-SA"/>
        </w:rPr>
        <w:t>4。</w:t>
      </w:r>
      <w:r>
        <w:rPr>
          <w:rFonts w:hint="eastAsia" w:ascii="楷体" w:hAnsi="楷体" w:eastAsia="楷体"/>
          <w:sz w:val="32"/>
          <w:szCs w:val="32"/>
          <w:highlight w:val="none"/>
        </w:rPr>
        <w:t>规范发展，矿产资源有序开发</w:t>
      </w:r>
      <w:r>
        <w:rPr>
          <w:rFonts w:hint="eastAsia" w:ascii="楷体" w:hAnsi="楷体" w:eastAsia="楷体"/>
          <w:sz w:val="32"/>
          <w:szCs w:val="32"/>
          <w:highlight w:val="none"/>
          <w:lang w:eastAsia="zh-CN"/>
        </w:rPr>
        <w:t>。</w:t>
      </w:r>
      <w:r>
        <w:rPr>
          <w:rFonts w:hint="eastAsia" w:ascii="仿宋_GB2312" w:eastAsia="仿宋_GB2312"/>
          <w:b/>
          <w:bCs/>
          <w:sz w:val="32"/>
          <w:szCs w:val="32"/>
          <w:highlight w:val="none"/>
        </w:rPr>
        <w:t>一是</w:t>
      </w:r>
      <w:r>
        <w:rPr>
          <w:rFonts w:hint="eastAsia" w:ascii="仿宋_GB2312" w:eastAsia="仿宋_GB2312"/>
          <w:sz w:val="32"/>
          <w:szCs w:val="32"/>
          <w:highlight w:val="none"/>
        </w:rPr>
        <w:t>优化调整矿区。</w:t>
      </w:r>
      <w:r>
        <w:rPr>
          <w:rFonts w:hint="eastAsia" w:ascii="仿宋_GB2312" w:hAnsi="仿宋_GB2312" w:eastAsia="仿宋_GB2312" w:cs="仿宋_GB2312"/>
          <w:kern w:val="0"/>
          <w:sz w:val="32"/>
          <w:szCs w:val="32"/>
          <w:highlight w:val="none"/>
        </w:rPr>
        <w:t>全市6个矿山存在问题，主要是：应急部门5家砖厂未办理安全生产许可证，自然资源部门2家砖厂未完成3合1方案和生态修复方案编制工作，环保部门1家采石场涉及环保措施不到位（未增加除尘设备）等情况。2020年6月底已整改完成。</w:t>
      </w:r>
      <w:r>
        <w:rPr>
          <w:rFonts w:hint="eastAsia" w:ascii="仿宋_GB2312" w:eastAsia="仿宋_GB2312"/>
          <w:b/>
          <w:bCs/>
          <w:sz w:val="32"/>
          <w:szCs w:val="32"/>
          <w:highlight w:val="none"/>
        </w:rPr>
        <w:t>二是</w:t>
      </w:r>
      <w:r>
        <w:rPr>
          <w:rFonts w:hint="eastAsia" w:ascii="仿宋_GB2312" w:eastAsia="仿宋_GB2312"/>
          <w:sz w:val="32"/>
          <w:szCs w:val="32"/>
          <w:highlight w:val="none"/>
        </w:rPr>
        <w:t>有序</w:t>
      </w:r>
      <w:r>
        <w:rPr>
          <w:rFonts w:hint="eastAsia" w:ascii="仿宋_GB2312" w:eastAsia="仿宋_GB2312"/>
          <w:bCs/>
          <w:sz w:val="32"/>
          <w:szCs w:val="32"/>
          <w:highlight w:val="none"/>
        </w:rPr>
        <w:t>出让</w:t>
      </w:r>
      <w:r>
        <w:rPr>
          <w:rFonts w:hint="eastAsia" w:ascii="仿宋_GB2312" w:eastAsia="仿宋_GB2312"/>
          <w:sz w:val="32"/>
          <w:szCs w:val="32"/>
          <w:highlight w:val="none"/>
        </w:rPr>
        <w:t>采矿权。</w:t>
      </w:r>
      <w:r>
        <w:rPr>
          <w:rFonts w:hint="eastAsia" w:ascii="仿宋_GB2312" w:hAnsi="仿宋_GB2312" w:eastAsia="仿宋_GB2312" w:cs="仿宋_GB2312"/>
          <w:bCs/>
          <w:sz w:val="32"/>
          <w:szCs w:val="32"/>
          <w:highlight w:val="none"/>
        </w:rPr>
        <w:t>完成龙南</w:t>
      </w:r>
      <w:r>
        <w:rPr>
          <w:rFonts w:hint="eastAsia" w:ascii="仿宋_GB2312" w:hAnsi="仿宋_GB2312" w:eastAsia="仿宋_GB2312" w:cs="仿宋_GB2312"/>
          <w:bCs/>
          <w:sz w:val="32"/>
          <w:szCs w:val="32"/>
        </w:rPr>
        <w:t>市南亨乡石官背建筑用凝灰岩矿采矿权公开出让，成交价1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256亿元，增加市本级财政收入约5652万元。并推动龙南市程龙镇石磨墩建筑用砂岩采矿权出让前期工作。</w:t>
      </w:r>
    </w:p>
    <w:p>
      <w:pPr>
        <w:ind w:firstLine="640"/>
        <w:rPr>
          <w:rFonts w:ascii="仿宋_GB2312" w:eastAsia="仿宋_GB2312"/>
          <w:sz w:val="32"/>
          <w:szCs w:val="32"/>
        </w:rPr>
      </w:pPr>
      <w:r>
        <w:rPr>
          <w:rFonts w:hint="eastAsia" w:ascii="仿宋_GB2312" w:hAnsi="仿宋_GB2312" w:eastAsia="仿宋_GB2312" w:cs="仿宋_GB2312"/>
          <w:bCs/>
          <w:sz w:val="32"/>
          <w:szCs w:val="32"/>
          <w:lang w:val="en-US" w:eastAsia="zh-CN"/>
        </w:rPr>
        <w:t>5。</w:t>
      </w:r>
      <w:r>
        <w:rPr>
          <w:rFonts w:hint="eastAsia" w:ascii="楷体" w:hAnsi="楷体" w:eastAsia="楷体"/>
          <w:sz w:val="32"/>
          <w:szCs w:val="32"/>
        </w:rPr>
        <w:t>多措并举，践行绿色发展</w:t>
      </w:r>
      <w:r>
        <w:rPr>
          <w:rFonts w:hint="eastAsia" w:ascii="楷体" w:hAnsi="楷体" w:eastAsia="楷体"/>
          <w:sz w:val="32"/>
          <w:szCs w:val="32"/>
          <w:lang w:eastAsia="zh-CN"/>
        </w:rPr>
        <w:t>。</w:t>
      </w:r>
      <w:r>
        <w:rPr>
          <w:rFonts w:hint="eastAsia" w:ascii="仿宋_GB2312" w:eastAsia="仿宋_GB2312"/>
          <w:b/>
          <w:bCs/>
          <w:sz w:val="32"/>
          <w:szCs w:val="32"/>
        </w:rPr>
        <w:t>一是</w:t>
      </w:r>
      <w:r>
        <w:rPr>
          <w:rFonts w:hint="eastAsia" w:ascii="仿宋_GB2312" w:eastAsia="仿宋_GB2312"/>
          <w:sz w:val="32"/>
          <w:szCs w:val="32"/>
        </w:rPr>
        <w:t>做好矿山治理工作。要求持证矿山在开采过程中严格按照“边开采、边治理，谁开采、谁治理”的原则执行，并要求矿山编制完善矿产资源开发利用方案、矿山恢复治理方案及土地复垦方案“三合一”报告。加强废弃稀土矿山治理工作。已完成我市稀土车间整治共63个，其中需拆除车间39个，需限期整改车间24个，拆除面积约58</w:t>
      </w:r>
      <w:r>
        <w:rPr>
          <w:rFonts w:hint="eastAsia" w:ascii="仿宋_GB2312" w:eastAsia="仿宋_GB2312"/>
          <w:sz w:val="32"/>
          <w:szCs w:val="32"/>
          <w:lang w:eastAsia="zh-CN"/>
        </w:rPr>
        <w:t>。</w:t>
      </w:r>
      <w:r>
        <w:rPr>
          <w:rFonts w:hint="eastAsia" w:ascii="仿宋_GB2312" w:eastAsia="仿宋_GB2312"/>
          <w:sz w:val="32"/>
          <w:szCs w:val="32"/>
        </w:rPr>
        <w:t>8公顷，目前已全部完成拆除车间复绿工程。已完成我市废弃稀土矿山管护治理工作，落实了赣州稀土矿业有限公司龙南分公司为我市废弃稀土矿山环境治理项目后期管护责任单位;对2个治理效果不好的矿点明确了治理责任单位（分别为</w:t>
      </w:r>
      <w:r>
        <w:rPr>
          <w:rFonts w:hint="eastAsia" w:ascii="仿宋_GB2312" w:eastAsia="仿宋_GB2312"/>
          <w:sz w:val="32"/>
          <w:szCs w:val="32"/>
          <w:lang w:eastAsia="zh-CN"/>
        </w:rPr>
        <w:t>市自然资源局本级</w:t>
      </w:r>
      <w:r>
        <w:rPr>
          <w:rFonts w:hint="eastAsia" w:ascii="仿宋_GB2312" w:eastAsia="仿宋_GB2312"/>
          <w:sz w:val="32"/>
          <w:szCs w:val="32"/>
        </w:rPr>
        <w:t>和林业局）</w:t>
      </w:r>
      <w:r>
        <w:rPr>
          <w:rFonts w:hint="eastAsia" w:ascii="仿宋_GB2312" w:eastAsia="仿宋_GB2312"/>
          <w:sz w:val="32"/>
          <w:szCs w:val="32"/>
          <w:lang w:eastAsia="zh-CN"/>
        </w:rPr>
        <w:t>，</w:t>
      </w:r>
      <w:r>
        <w:rPr>
          <w:rFonts w:hint="eastAsia" w:ascii="仿宋_GB2312" w:eastAsia="仿宋_GB2312"/>
          <w:sz w:val="32"/>
          <w:szCs w:val="32"/>
        </w:rPr>
        <w:t>目前已完工。</w:t>
      </w:r>
    </w:p>
    <w:p>
      <w:pPr>
        <w:rPr>
          <w:rFonts w:hint="eastAsia" w:ascii="仿宋_GB2312" w:eastAsia="仿宋_GB2312"/>
          <w:sz w:val="32"/>
          <w:szCs w:val="32"/>
        </w:rPr>
      </w:pPr>
      <w:r>
        <w:rPr>
          <w:rFonts w:hint="eastAsia" w:ascii="仿宋_GB2312" w:eastAsia="仿宋_GB2312"/>
          <w:b/>
          <w:bCs/>
          <w:sz w:val="32"/>
          <w:szCs w:val="32"/>
        </w:rPr>
        <w:t>二是</w:t>
      </w:r>
      <w:r>
        <w:rPr>
          <w:rFonts w:hint="eastAsia" w:ascii="仿宋_GB2312" w:eastAsia="仿宋_GB2312"/>
          <w:sz w:val="32"/>
          <w:szCs w:val="32"/>
        </w:rPr>
        <w:t>做好绿色矿山建设工作。今年已对赣州稀土矿业公司龙南足洞稀土矿、龙南县夹湖旺达钨矿、龙南县路塘水泥用凝灰岩矿3家矿山上报市局建设绿色矿山。龙南县夹湖旺达钨矿正在实施绿色矿山的建设，预计年底完成建设。赣州稀土矿业公司龙南足洞稀土矿、龙南县路塘水泥用凝灰岩矿正在编制《绿色矿山建设工作实施方案》。</w:t>
      </w:r>
      <w:r>
        <w:rPr>
          <w:rFonts w:hint="eastAsia" w:ascii="仿宋_GB2312" w:eastAsia="仿宋_GB2312"/>
          <w:b/>
          <w:bCs/>
          <w:sz w:val="32"/>
          <w:szCs w:val="32"/>
        </w:rPr>
        <w:t>三是</w:t>
      </w:r>
      <w:r>
        <w:rPr>
          <w:rFonts w:hint="eastAsia" w:ascii="仿宋_GB2312" w:eastAsia="仿宋_GB2312"/>
          <w:sz w:val="32"/>
          <w:szCs w:val="32"/>
        </w:rPr>
        <w:t>开展非金属矿山“乱象”专项整治工作。联合市生态环境、水利、林业、应急管理部门成立检查组到各矿山巡查下发整改通知，督促矿山做好各项措施、履行各项义务。全年排查出6个问题，现已全部整改完毕。</w:t>
      </w:r>
      <w:r>
        <w:rPr>
          <w:rFonts w:hint="eastAsia" w:ascii="仿宋_GB2312" w:eastAsia="仿宋_GB2312"/>
          <w:b/>
          <w:bCs/>
          <w:sz w:val="32"/>
          <w:szCs w:val="32"/>
        </w:rPr>
        <w:t>四是</w:t>
      </w:r>
      <w:r>
        <w:rPr>
          <w:rFonts w:hint="eastAsia" w:ascii="仿宋_GB2312" w:eastAsia="仿宋_GB2312"/>
          <w:sz w:val="32"/>
          <w:szCs w:val="32"/>
        </w:rPr>
        <w:t>开展山水林田湖草项目申报。我市已申报龙南市废弃矿山修复综合治理项目、龙南市杨村愚公河下游崩岗侵蚀综合治理项目、龙南市桃江流域水系综合整治项目、龙南市渥江流域乡村水系综合整治项目等5个项目，共计申报资金141846</w:t>
      </w:r>
      <w:r>
        <w:rPr>
          <w:rFonts w:hint="eastAsia" w:ascii="仿宋_GB2312" w:eastAsia="仿宋_GB2312"/>
          <w:sz w:val="32"/>
          <w:szCs w:val="32"/>
          <w:lang w:eastAsia="zh-CN"/>
        </w:rPr>
        <w:t>。</w:t>
      </w:r>
      <w:r>
        <w:rPr>
          <w:rFonts w:hint="eastAsia" w:ascii="仿宋_GB2312" w:eastAsia="仿宋_GB2312"/>
          <w:sz w:val="32"/>
          <w:szCs w:val="32"/>
        </w:rPr>
        <w:t>74万元。同时我市已被国家列为南方丘陵地带历史遗留矿山生态修复县，其中自然恢复废弃矿山个数74个，恢复面积61</w:t>
      </w:r>
      <w:r>
        <w:rPr>
          <w:rFonts w:hint="eastAsia" w:ascii="仿宋_GB2312" w:eastAsia="仿宋_GB2312"/>
          <w:sz w:val="32"/>
          <w:szCs w:val="32"/>
          <w:lang w:eastAsia="zh-CN"/>
        </w:rPr>
        <w:t>。</w:t>
      </w:r>
      <w:r>
        <w:rPr>
          <w:rFonts w:hint="eastAsia" w:ascii="仿宋_GB2312" w:eastAsia="仿宋_GB2312"/>
          <w:sz w:val="32"/>
          <w:szCs w:val="32"/>
        </w:rPr>
        <w:t>3099公顷，工程治理的历史遗留矿山个数67个，治理面积405</w:t>
      </w:r>
      <w:r>
        <w:rPr>
          <w:rFonts w:hint="eastAsia" w:ascii="仿宋_GB2312" w:eastAsia="仿宋_GB2312"/>
          <w:sz w:val="32"/>
          <w:szCs w:val="32"/>
          <w:lang w:eastAsia="zh-CN"/>
        </w:rPr>
        <w:t>。</w:t>
      </w:r>
      <w:r>
        <w:rPr>
          <w:rFonts w:hint="eastAsia" w:ascii="仿宋_GB2312" w:eastAsia="仿宋_GB2312"/>
          <w:sz w:val="32"/>
          <w:szCs w:val="32"/>
        </w:rPr>
        <w:t>2297公顷。目前已完成向省级申报“实施江西省桃江流域（龙南段）废弃矿山集中区生态修复重点项目”工作。</w:t>
      </w:r>
    </w:p>
    <w:p>
      <w:pPr>
        <w:ind w:firstLine="643"/>
        <w:rPr>
          <w:rFonts w:ascii="仿宋_GB2312" w:eastAsia="仿宋_GB2312"/>
          <w:color w:val="333333"/>
          <w:sz w:val="32"/>
          <w:szCs w:val="32"/>
          <w:shd w:val="clear" w:color="auto" w:fill="FFFFFF"/>
        </w:rPr>
      </w:pPr>
      <w:r>
        <w:rPr>
          <w:rFonts w:hint="eastAsia" w:ascii="仿宋_GB2312" w:hAnsi="楷体" w:eastAsia="仿宋_GB2312"/>
          <w:b/>
          <w:sz w:val="32"/>
          <w:szCs w:val="32"/>
          <w:lang w:val="en-US" w:eastAsia="zh-CN"/>
        </w:rPr>
        <w:t>6。</w:t>
      </w:r>
      <w:r>
        <w:rPr>
          <w:rFonts w:hint="eastAsia" w:ascii="仿宋_GB2312" w:hAnsi="楷体" w:eastAsia="仿宋_GB2312"/>
          <w:b/>
          <w:sz w:val="32"/>
          <w:szCs w:val="32"/>
        </w:rPr>
        <w:t>聚焦改革，优化营商环境</w:t>
      </w:r>
      <w:r>
        <w:rPr>
          <w:rFonts w:hint="eastAsia" w:ascii="仿宋_GB2312" w:hAnsi="楷体" w:eastAsia="仿宋_GB2312"/>
          <w:b/>
          <w:sz w:val="32"/>
          <w:szCs w:val="32"/>
          <w:lang w:eastAsia="zh-CN"/>
        </w:rPr>
        <w:t>。</w:t>
      </w:r>
      <w:r>
        <w:rPr>
          <w:rFonts w:hint="eastAsia" w:ascii="仿宋_GB2312" w:eastAsia="仿宋_GB2312"/>
          <w:b/>
          <w:bCs/>
          <w:color w:val="333333"/>
          <w:sz w:val="32"/>
          <w:szCs w:val="32"/>
          <w:shd w:val="clear" w:color="auto" w:fill="FFFFFF"/>
          <w:lang w:val="en-US" w:eastAsia="zh-CN"/>
        </w:rPr>
        <w:t>一是</w:t>
      </w:r>
      <w:r>
        <w:rPr>
          <w:rFonts w:hint="eastAsia" w:ascii="仿宋_GB2312" w:eastAsia="仿宋_GB2312"/>
          <w:color w:val="333333"/>
          <w:sz w:val="32"/>
          <w:szCs w:val="32"/>
          <w:shd w:val="clear" w:color="auto" w:fill="FFFFFF"/>
        </w:rPr>
        <w:t>压缩不动产登记时限。我局继续落实好《国务院办公厅关于压缩不动产登记办理时间的通知》国办发〔2019〕8号精神，通过精简材料、优化流程等措施进一步压缩不动产登记办理时限。办理时限从法定的30个工作日，压缩至现在的一般登记5个工作日办结、抵押登记2个工作日办结。针对省市重点企业一般登记3个工作日办结，抵押登记2个工作日办结。</w:t>
      </w:r>
      <w:r>
        <w:rPr>
          <w:rFonts w:hint="eastAsia" w:ascii="仿宋_GB2312" w:eastAsia="仿宋_GB2312"/>
          <w:b/>
          <w:bCs/>
          <w:color w:val="333333"/>
          <w:sz w:val="32"/>
          <w:szCs w:val="32"/>
          <w:shd w:val="clear" w:color="auto" w:fill="FFFFFF"/>
          <w:lang w:val="en-US" w:eastAsia="zh-CN"/>
        </w:rPr>
        <w:t>二是</w:t>
      </w:r>
      <w:r>
        <w:rPr>
          <w:rFonts w:hint="eastAsia" w:ascii="仿宋_GB2312" w:eastAsia="仿宋_GB2312"/>
          <w:color w:val="333333"/>
          <w:sz w:val="32"/>
          <w:szCs w:val="32"/>
          <w:shd w:val="clear" w:color="auto" w:fill="FFFFFF"/>
        </w:rPr>
        <w:t>推行</w:t>
      </w:r>
      <w:r>
        <w:rPr>
          <w:rFonts w:ascii="仿宋_GB2312" w:eastAsia="仿宋_GB2312"/>
          <w:color w:val="333333"/>
          <w:sz w:val="32"/>
          <w:szCs w:val="32"/>
          <w:shd w:val="clear" w:color="auto" w:fill="FFFFFF"/>
        </w:rPr>
        <w:t>“</w:t>
      </w:r>
      <w:r>
        <w:rPr>
          <w:rFonts w:hint="eastAsia" w:ascii="仿宋_GB2312" w:eastAsia="仿宋_GB2312"/>
          <w:color w:val="333333"/>
          <w:sz w:val="32"/>
          <w:szCs w:val="32"/>
          <w:shd w:val="clear" w:color="auto" w:fill="FFFFFF"/>
        </w:rPr>
        <w:t>一窗</w:t>
      </w:r>
      <w:r>
        <w:rPr>
          <w:rFonts w:ascii="仿宋_GB2312" w:eastAsia="仿宋_GB2312"/>
          <w:color w:val="333333"/>
          <w:sz w:val="32"/>
          <w:szCs w:val="32"/>
          <w:shd w:val="clear" w:color="auto" w:fill="FFFFFF"/>
        </w:rPr>
        <w:t>办理”</w:t>
      </w:r>
      <w:r>
        <w:rPr>
          <w:rFonts w:hint="eastAsia" w:ascii="仿宋_GB2312" w:eastAsia="仿宋_GB2312"/>
          <w:color w:val="333333"/>
          <w:sz w:val="32"/>
          <w:szCs w:val="32"/>
          <w:shd w:val="clear" w:color="auto" w:fill="FFFFFF"/>
        </w:rPr>
        <w:t>。 在行政服务中心四楼设立“工程建设项目一窗办”集中办证窗口，并在窗口受理、办结，工程建设项目从立项到竣工验收的相关工作，强化了“一窗式”服务功能；解决群众企业在交易窗口、税务窗口、登记窗口“多头跑、重复报”的问题，实现不动产登记“一门受理、一网办结、只跑一次”，办事效率得到极大的提高。大大缩短了规划行政许可的办结时限，建设项目用地预审与选址意见书由规定的13个工作日，缩短至5个工作日，建设用地规划许可证由规定的10个工作日缩短至5个工作日，建设工程规划许可证由规定的20个工作日缩短为5个工作日；</w:t>
      </w:r>
      <w:r>
        <w:rPr>
          <w:rFonts w:hint="eastAsia" w:ascii="仿宋_GB2312" w:eastAsia="仿宋_GB2312"/>
          <w:b/>
          <w:bCs/>
          <w:color w:val="333333"/>
          <w:sz w:val="32"/>
          <w:szCs w:val="32"/>
          <w:shd w:val="clear" w:color="auto" w:fill="FFFFFF"/>
          <w:lang w:val="en-US" w:eastAsia="zh-CN"/>
        </w:rPr>
        <w:t>三是</w:t>
      </w:r>
      <w:r>
        <w:rPr>
          <w:rFonts w:hint="eastAsia" w:ascii="仿宋_GB2312" w:eastAsia="仿宋_GB2312"/>
          <w:color w:val="333333"/>
          <w:sz w:val="32"/>
          <w:szCs w:val="32"/>
          <w:shd w:val="clear" w:color="auto" w:fill="FFFFFF"/>
        </w:rPr>
        <w:t>优化审批流程。根据“多审合一、多测合一、多证合一”的新政策所要求的办事流程和所需资料分门别类地出台了公共划拨用地类、工业出让类、房地产开发等商业出让类的报建《办事指南》。自2020年3月25日起，全市范围内建设项目用地预审与选址意见书、建设用地规划许可证、建设工程规划许可证、乡村建设规划许可证等行政许可事项推行“容缺审批+承诺制”办理，建立以诚信为基础的事中事后监管新模式，加快实现工程建设项目审批制度改革目标。</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履职效果情况：从社会效益、经济效益（如有）、生态效益（如有）等方面反映部门履职效果的实现情况。</w:t>
      </w:r>
    </w:p>
    <w:p>
      <w:pPr>
        <w:ind w:firstLine="643" w:firstLineChars="200"/>
        <w:rPr>
          <w:rFonts w:hint="eastAsia" w:ascii="仿宋_GB2312" w:hAnsi="仿宋_GB2312" w:eastAsia="仿宋_GB2312" w:cs="仿宋_GB2312"/>
          <w:bCs/>
          <w:sz w:val="32"/>
          <w:szCs w:val="32"/>
        </w:rPr>
      </w:pPr>
      <w:r>
        <w:rPr>
          <w:rFonts w:hint="eastAsia" w:ascii="仿宋" w:hAnsi="仿宋" w:eastAsia="仿宋" w:cs="仿宋"/>
          <w:b/>
          <w:bCs/>
          <w:sz w:val="32"/>
          <w:szCs w:val="32"/>
          <w:highlight w:val="none"/>
          <w:lang w:val="en-US" w:eastAsia="zh-CN"/>
        </w:rPr>
        <w:t>1。</w:t>
      </w:r>
      <w:r>
        <w:rPr>
          <w:rFonts w:hint="eastAsia" w:ascii="楷体" w:hAnsi="楷体" w:eastAsia="楷体"/>
          <w:sz w:val="32"/>
          <w:szCs w:val="32"/>
          <w:highlight w:val="none"/>
          <w:lang w:val="en-US" w:eastAsia="zh-CN"/>
        </w:rPr>
        <w:t>增加收入</w:t>
      </w:r>
      <w:r>
        <w:rPr>
          <w:rFonts w:hint="eastAsia" w:ascii="楷体" w:hAnsi="楷体" w:eastAsia="楷体"/>
          <w:sz w:val="32"/>
          <w:szCs w:val="32"/>
          <w:highlight w:val="none"/>
        </w:rPr>
        <w:t>，保障经济发展</w:t>
      </w:r>
      <w:r>
        <w:rPr>
          <w:rFonts w:hint="eastAsia" w:ascii="楷体" w:hAnsi="楷体" w:eastAsia="楷体"/>
          <w:sz w:val="32"/>
          <w:szCs w:val="32"/>
          <w:highlight w:val="none"/>
          <w:lang w:eastAsia="zh-CN"/>
        </w:rPr>
        <w:t>。</w:t>
      </w:r>
      <w:r>
        <w:rPr>
          <w:rFonts w:hint="eastAsia" w:ascii="仿宋" w:hAnsi="仿宋" w:eastAsia="仿宋" w:cs="仿宋"/>
          <w:b/>
          <w:bCs/>
          <w:sz w:val="30"/>
          <w:szCs w:val="30"/>
          <w:highlight w:val="none"/>
        </w:rPr>
        <w:t>一是</w:t>
      </w:r>
      <w:r>
        <w:rPr>
          <w:rFonts w:hint="eastAsia" w:ascii="仿宋" w:hAnsi="仿宋" w:eastAsia="仿宋" w:cs="仿宋"/>
          <w:sz w:val="30"/>
          <w:szCs w:val="30"/>
          <w:highlight w:val="none"/>
        </w:rPr>
        <w:t>全力争取</w:t>
      </w:r>
      <w:r>
        <w:rPr>
          <w:rFonts w:ascii="仿宋" w:hAnsi="仿宋" w:eastAsia="仿宋" w:cs="仿宋"/>
          <w:sz w:val="30"/>
          <w:szCs w:val="30"/>
          <w:highlight w:val="none"/>
        </w:rPr>
        <w:t>用地</w:t>
      </w:r>
      <w:r>
        <w:rPr>
          <w:rFonts w:hint="eastAsia" w:ascii="仿宋" w:hAnsi="仿宋" w:eastAsia="仿宋" w:cs="仿宋"/>
          <w:sz w:val="30"/>
          <w:szCs w:val="30"/>
          <w:highlight w:val="none"/>
        </w:rPr>
        <w:t>指标</w:t>
      </w:r>
      <w:r>
        <w:rPr>
          <w:rFonts w:hint="eastAsia" w:ascii="仿宋" w:hAnsi="仿宋" w:eastAsia="仿宋" w:cs="仿宋"/>
          <w:sz w:val="30"/>
          <w:szCs w:val="30"/>
          <w:highlight w:val="none"/>
          <w:lang w:eastAsia="zh-CN"/>
        </w:rPr>
        <w:t>，</w:t>
      </w:r>
      <w:r>
        <w:rPr>
          <w:rFonts w:ascii="仿宋" w:hAnsi="仿宋" w:eastAsia="仿宋" w:cs="仿宋"/>
          <w:sz w:val="30"/>
          <w:szCs w:val="30"/>
          <w:highlight w:val="none"/>
        </w:rPr>
        <w:t>有序出让供应土地</w:t>
      </w:r>
      <w:r>
        <w:rPr>
          <w:rFonts w:hint="eastAsia" w:ascii="仿宋" w:hAnsi="仿宋" w:eastAsia="仿宋" w:cs="仿宋"/>
          <w:sz w:val="30"/>
          <w:szCs w:val="30"/>
          <w:highlight w:val="none"/>
        </w:rPr>
        <w:t>。</w:t>
      </w:r>
      <w:r>
        <w:rPr>
          <w:rFonts w:hint="eastAsia" w:ascii="仿宋_GB2312" w:eastAsia="仿宋_GB2312"/>
          <w:sz w:val="32"/>
          <w:szCs w:val="32"/>
          <w:highlight w:val="none"/>
        </w:rPr>
        <w:t>2020年我市</w:t>
      </w:r>
      <w:r>
        <w:rPr>
          <w:rFonts w:hint="eastAsia" w:ascii="仿宋_GB2312" w:hAnsi="仿宋" w:eastAsia="仿宋_GB2312"/>
          <w:sz w:val="32"/>
          <w:szCs w:val="32"/>
          <w:highlight w:val="none"/>
        </w:rPr>
        <w:t>共出让土地23宗，其中9宗房地产用地，出让总面积1775</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63亩，土地出让价款75146</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rPr>
        <w:t>23万元。</w:t>
      </w:r>
      <w:r>
        <w:rPr>
          <w:rFonts w:hint="eastAsia" w:ascii="仿宋_GB2312" w:hAnsi="仿宋" w:eastAsia="仿宋_GB2312"/>
          <w:b/>
          <w:bCs/>
          <w:sz w:val="32"/>
          <w:szCs w:val="32"/>
          <w:highlight w:val="none"/>
          <w:lang w:val="en-US" w:eastAsia="zh-CN"/>
        </w:rPr>
        <w:t>二是</w:t>
      </w:r>
      <w:r>
        <w:rPr>
          <w:rFonts w:hint="eastAsia" w:ascii="仿宋_GB2312" w:eastAsia="仿宋_GB2312"/>
          <w:sz w:val="32"/>
          <w:szCs w:val="32"/>
          <w:highlight w:val="none"/>
        </w:rPr>
        <w:t>优化调整矿区</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有序</w:t>
      </w:r>
      <w:r>
        <w:rPr>
          <w:rFonts w:hint="eastAsia" w:ascii="仿宋_GB2312" w:eastAsia="仿宋_GB2312"/>
          <w:bCs/>
          <w:sz w:val="32"/>
          <w:szCs w:val="32"/>
          <w:highlight w:val="none"/>
        </w:rPr>
        <w:t>出让</w:t>
      </w:r>
      <w:r>
        <w:rPr>
          <w:rFonts w:hint="eastAsia" w:ascii="仿宋_GB2312" w:eastAsia="仿宋_GB2312"/>
          <w:sz w:val="32"/>
          <w:szCs w:val="32"/>
          <w:highlight w:val="none"/>
        </w:rPr>
        <w:t>采矿权。</w:t>
      </w:r>
      <w:r>
        <w:rPr>
          <w:rFonts w:hint="eastAsia" w:ascii="仿宋_GB2312" w:hAnsi="仿宋_GB2312" w:eastAsia="仿宋_GB2312" w:cs="仿宋_GB2312"/>
          <w:bCs/>
          <w:sz w:val="32"/>
          <w:szCs w:val="32"/>
          <w:highlight w:val="none"/>
        </w:rPr>
        <w:t>完成龙南</w:t>
      </w:r>
      <w:r>
        <w:rPr>
          <w:rFonts w:hint="eastAsia" w:ascii="仿宋_GB2312" w:hAnsi="仿宋_GB2312" w:eastAsia="仿宋_GB2312" w:cs="仿宋_GB2312"/>
          <w:bCs/>
          <w:sz w:val="32"/>
          <w:szCs w:val="32"/>
        </w:rPr>
        <w:t>市南亨乡石官背建筑用凝灰岩矿采矿权公开出让，成交价1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256亿元，增加市本级财政收入约5652万元。</w:t>
      </w:r>
    </w:p>
    <w:p>
      <w:pPr>
        <w:ind w:firstLine="640"/>
        <w:rPr>
          <w:rFonts w:ascii="仿宋_GB2312" w:eastAsia="仿宋_GB2312"/>
          <w:sz w:val="32"/>
          <w:szCs w:val="32"/>
        </w:rPr>
      </w:pPr>
      <w:r>
        <w:rPr>
          <w:rFonts w:hint="eastAsia" w:ascii="楷体" w:hAnsi="楷体" w:eastAsia="楷体"/>
          <w:sz w:val="32"/>
          <w:szCs w:val="32"/>
          <w:lang w:val="en-US" w:eastAsia="zh-CN"/>
        </w:rPr>
        <w:t>2。</w:t>
      </w:r>
      <w:r>
        <w:rPr>
          <w:rFonts w:hint="eastAsia" w:ascii="楷体" w:hAnsi="楷体" w:eastAsia="楷体"/>
          <w:sz w:val="32"/>
          <w:szCs w:val="32"/>
        </w:rPr>
        <w:t>多措并举，践行绿色发展</w:t>
      </w:r>
      <w:r>
        <w:rPr>
          <w:rFonts w:hint="eastAsia" w:ascii="楷体" w:hAnsi="楷体" w:eastAsia="楷体"/>
          <w:sz w:val="32"/>
          <w:szCs w:val="32"/>
          <w:lang w:eastAsia="zh-CN"/>
        </w:rPr>
        <w:t>。</w:t>
      </w:r>
      <w:r>
        <w:rPr>
          <w:rFonts w:hint="eastAsia" w:ascii="仿宋_GB2312" w:eastAsia="仿宋_GB2312"/>
          <w:b/>
          <w:bCs/>
          <w:sz w:val="32"/>
          <w:szCs w:val="32"/>
        </w:rPr>
        <w:t>一是</w:t>
      </w:r>
      <w:r>
        <w:rPr>
          <w:rFonts w:hint="eastAsia" w:ascii="仿宋_GB2312" w:eastAsia="仿宋_GB2312"/>
          <w:sz w:val="32"/>
          <w:szCs w:val="32"/>
        </w:rPr>
        <w:t>做好矿山治理工作。要求持证矿山在开采过程中严格按照“边开采、边治理，谁开采、谁治理”的原则执行，并要求矿山编制完善矿产资源开发利用方案、矿山恢复治理方案及土地复垦方案“三合一”报告。加强废弃稀土矿山治理工作。已完成我市稀土车间整治共63个，其中需拆除车间39个，需限期整改车间24个，拆除面积约58</w:t>
      </w:r>
      <w:r>
        <w:rPr>
          <w:rFonts w:hint="eastAsia" w:ascii="仿宋_GB2312" w:eastAsia="仿宋_GB2312"/>
          <w:sz w:val="32"/>
          <w:szCs w:val="32"/>
          <w:lang w:eastAsia="zh-CN"/>
        </w:rPr>
        <w:t>。</w:t>
      </w:r>
      <w:r>
        <w:rPr>
          <w:rFonts w:hint="eastAsia" w:ascii="仿宋_GB2312" w:eastAsia="仿宋_GB2312"/>
          <w:sz w:val="32"/>
          <w:szCs w:val="32"/>
        </w:rPr>
        <w:t>8公顷，目前已全部完成拆除车间复绿工程。</w:t>
      </w:r>
    </w:p>
    <w:p>
      <w:pPr>
        <w:rPr>
          <w:rFonts w:hint="eastAsia" w:ascii="仿宋_GB2312" w:eastAsia="仿宋_GB2312"/>
          <w:sz w:val="32"/>
          <w:szCs w:val="32"/>
        </w:rPr>
      </w:pPr>
      <w:r>
        <w:rPr>
          <w:rFonts w:hint="eastAsia" w:ascii="仿宋_GB2312" w:eastAsia="仿宋_GB2312"/>
          <w:b/>
          <w:bCs/>
          <w:sz w:val="32"/>
          <w:szCs w:val="32"/>
        </w:rPr>
        <w:t>二是</w:t>
      </w:r>
      <w:r>
        <w:rPr>
          <w:rFonts w:hint="eastAsia" w:ascii="仿宋_GB2312" w:eastAsia="仿宋_GB2312"/>
          <w:sz w:val="32"/>
          <w:szCs w:val="32"/>
        </w:rPr>
        <w:t>做好绿色矿山建设工作。今年已对赣州稀土矿业公司龙南足洞稀土矿、龙南县夹湖旺达钨矿、龙南县路塘水泥用凝灰岩矿3家矿山上报市局建设绿色矿山。龙南县夹湖旺达钨矿正在实施绿色矿山的建设，预计年底完成建设。赣州稀土矿业公司龙南足洞稀土矿、龙南县路塘水泥用凝灰岩矿正在编制《绿色矿山建设工作实施方案》。</w:t>
      </w:r>
      <w:r>
        <w:rPr>
          <w:rFonts w:hint="eastAsia" w:ascii="仿宋_GB2312" w:eastAsia="仿宋_GB2312"/>
          <w:b/>
          <w:bCs/>
          <w:sz w:val="32"/>
          <w:szCs w:val="32"/>
        </w:rPr>
        <w:t>三是</w:t>
      </w:r>
      <w:r>
        <w:rPr>
          <w:rFonts w:hint="eastAsia" w:ascii="仿宋_GB2312" w:eastAsia="仿宋_GB2312"/>
          <w:sz w:val="32"/>
          <w:szCs w:val="32"/>
        </w:rPr>
        <w:t>开展非金属矿山“乱象”专项整治工作。联合市生态环境、水利、林业、应急管理部门成立检查组到各矿山巡查下发整改通知，督促矿山做好各项措施、履行各项义务。全年排查出6个问题，现已全部整改完毕。</w:t>
      </w:r>
      <w:r>
        <w:rPr>
          <w:rFonts w:hint="eastAsia" w:ascii="仿宋_GB2312" w:eastAsia="仿宋_GB2312"/>
          <w:b/>
          <w:bCs/>
          <w:sz w:val="32"/>
          <w:szCs w:val="32"/>
        </w:rPr>
        <w:t>四是</w:t>
      </w:r>
      <w:r>
        <w:rPr>
          <w:rFonts w:hint="eastAsia" w:ascii="仿宋_GB2312" w:eastAsia="仿宋_GB2312"/>
          <w:sz w:val="32"/>
          <w:szCs w:val="32"/>
        </w:rPr>
        <w:t>开展山水林田湖草项目申报。我市已申报龙南市废弃矿山修复综合治理项目、龙南市杨村愚公河下游崩岗侵蚀综合治理项目、龙南市桃江流域水系综合整治项目、龙南市渥江流域乡村水系综合整治项目等5个项目，共计申报资金141846</w:t>
      </w:r>
      <w:r>
        <w:rPr>
          <w:rFonts w:hint="eastAsia" w:ascii="仿宋_GB2312" w:eastAsia="仿宋_GB2312"/>
          <w:sz w:val="32"/>
          <w:szCs w:val="32"/>
          <w:lang w:eastAsia="zh-CN"/>
        </w:rPr>
        <w:t>。</w:t>
      </w:r>
      <w:r>
        <w:rPr>
          <w:rFonts w:hint="eastAsia" w:ascii="仿宋_GB2312" w:eastAsia="仿宋_GB2312"/>
          <w:sz w:val="32"/>
          <w:szCs w:val="32"/>
        </w:rPr>
        <w:t>74万元。同时我市已被国家列为南方丘陵地带历史遗留矿山生态修复县，其中自然恢复废弃矿山个数74个，恢复面积61</w:t>
      </w:r>
      <w:r>
        <w:rPr>
          <w:rFonts w:hint="eastAsia" w:ascii="仿宋_GB2312" w:eastAsia="仿宋_GB2312"/>
          <w:sz w:val="32"/>
          <w:szCs w:val="32"/>
          <w:lang w:eastAsia="zh-CN"/>
        </w:rPr>
        <w:t>。</w:t>
      </w:r>
      <w:r>
        <w:rPr>
          <w:rFonts w:hint="eastAsia" w:ascii="仿宋_GB2312" w:eastAsia="仿宋_GB2312"/>
          <w:sz w:val="32"/>
          <w:szCs w:val="32"/>
        </w:rPr>
        <w:t>3099公顷，工程治理的历史遗留矿山个数67个，治理面积405</w:t>
      </w:r>
      <w:r>
        <w:rPr>
          <w:rFonts w:hint="eastAsia" w:ascii="仿宋_GB2312" w:eastAsia="仿宋_GB2312"/>
          <w:sz w:val="32"/>
          <w:szCs w:val="32"/>
          <w:lang w:eastAsia="zh-CN"/>
        </w:rPr>
        <w:t>。</w:t>
      </w:r>
      <w:r>
        <w:rPr>
          <w:rFonts w:hint="eastAsia" w:ascii="仿宋_GB2312" w:eastAsia="仿宋_GB2312"/>
          <w:sz w:val="32"/>
          <w:szCs w:val="32"/>
        </w:rPr>
        <w:t>2297公顷。目前已完成向省级申报“实施江西省桃江流域（龙南段）废弃矿山集中区生态修复重点项目”工作。</w:t>
      </w:r>
    </w:p>
    <w:p>
      <w:pPr>
        <w:ind w:firstLine="643"/>
        <w:rPr>
          <w:rFonts w:hint="default" w:ascii="仿宋_GB2312" w:eastAsia="仿宋_GB2312"/>
          <w:color w:val="333333"/>
          <w:sz w:val="32"/>
          <w:szCs w:val="32"/>
          <w:shd w:val="clear" w:color="auto" w:fill="FFFFFF"/>
          <w:lang w:val="en-US" w:eastAsia="zh-CN"/>
        </w:rPr>
      </w:pPr>
      <w:r>
        <w:rPr>
          <w:rFonts w:hint="eastAsia" w:ascii="仿宋_GB2312" w:hAnsi="楷体" w:eastAsia="仿宋_GB2312"/>
          <w:b/>
          <w:sz w:val="32"/>
          <w:szCs w:val="32"/>
          <w:lang w:val="en-US" w:eastAsia="zh-CN"/>
        </w:rPr>
        <w:t>3。</w:t>
      </w:r>
      <w:r>
        <w:rPr>
          <w:rFonts w:hint="eastAsia" w:ascii="仿宋_GB2312" w:hAnsi="楷体" w:eastAsia="仿宋_GB2312"/>
          <w:b/>
          <w:sz w:val="32"/>
          <w:szCs w:val="32"/>
        </w:rPr>
        <w:t>优化营商环境</w:t>
      </w:r>
      <w:r>
        <w:rPr>
          <w:rFonts w:hint="eastAsia" w:ascii="仿宋_GB2312" w:hAnsi="楷体" w:eastAsia="仿宋_GB2312"/>
          <w:b/>
          <w:sz w:val="32"/>
          <w:szCs w:val="32"/>
          <w:lang w:eastAsia="zh-CN"/>
        </w:rPr>
        <w:t>，</w:t>
      </w:r>
      <w:r>
        <w:rPr>
          <w:rFonts w:hint="eastAsia" w:ascii="仿宋_GB2312" w:hAnsi="楷体" w:eastAsia="仿宋_GB2312"/>
          <w:b/>
          <w:sz w:val="32"/>
          <w:szCs w:val="32"/>
          <w:lang w:val="en-US" w:eastAsia="zh-CN"/>
        </w:rPr>
        <w:t>提升便民服务发展。</w:t>
      </w:r>
      <w:r>
        <w:rPr>
          <w:rFonts w:hint="eastAsia" w:ascii="仿宋_GB2312" w:eastAsia="仿宋_GB2312"/>
          <w:b/>
          <w:bCs/>
          <w:color w:val="333333"/>
          <w:sz w:val="32"/>
          <w:szCs w:val="32"/>
          <w:shd w:val="clear" w:color="auto" w:fill="FFFFFF"/>
          <w:lang w:val="en-US" w:eastAsia="zh-CN"/>
        </w:rPr>
        <w:t>一是</w:t>
      </w:r>
      <w:r>
        <w:rPr>
          <w:rFonts w:hint="eastAsia" w:ascii="仿宋_GB2312" w:eastAsia="仿宋_GB2312"/>
          <w:color w:val="333333"/>
          <w:sz w:val="32"/>
          <w:szCs w:val="32"/>
          <w:shd w:val="clear" w:color="auto" w:fill="FFFFFF"/>
        </w:rPr>
        <w:t>压缩不动产登记时限。通过精简材料、优化流程等措施进一步压缩不动产登记办理时限。</w:t>
      </w:r>
      <w:r>
        <w:rPr>
          <w:rFonts w:hint="eastAsia" w:ascii="仿宋_GB2312" w:eastAsia="仿宋_GB2312"/>
          <w:b/>
          <w:bCs/>
          <w:color w:val="333333"/>
          <w:sz w:val="32"/>
          <w:szCs w:val="32"/>
          <w:shd w:val="clear" w:color="auto" w:fill="FFFFFF"/>
          <w:lang w:val="en-US" w:eastAsia="zh-CN"/>
        </w:rPr>
        <w:t>二是</w:t>
      </w:r>
      <w:r>
        <w:rPr>
          <w:rFonts w:hint="eastAsia" w:ascii="仿宋_GB2312" w:eastAsia="仿宋_GB2312"/>
          <w:color w:val="333333"/>
          <w:sz w:val="32"/>
          <w:szCs w:val="32"/>
          <w:shd w:val="clear" w:color="auto" w:fill="FFFFFF"/>
        </w:rPr>
        <w:t>推行</w:t>
      </w:r>
      <w:r>
        <w:rPr>
          <w:rFonts w:ascii="仿宋_GB2312" w:eastAsia="仿宋_GB2312"/>
          <w:color w:val="333333"/>
          <w:sz w:val="32"/>
          <w:szCs w:val="32"/>
          <w:shd w:val="clear" w:color="auto" w:fill="FFFFFF"/>
        </w:rPr>
        <w:t>“</w:t>
      </w:r>
      <w:r>
        <w:rPr>
          <w:rFonts w:hint="eastAsia" w:ascii="仿宋_GB2312" w:eastAsia="仿宋_GB2312"/>
          <w:color w:val="333333"/>
          <w:sz w:val="32"/>
          <w:szCs w:val="32"/>
          <w:shd w:val="clear" w:color="auto" w:fill="FFFFFF"/>
        </w:rPr>
        <w:t>一窗</w:t>
      </w:r>
      <w:r>
        <w:rPr>
          <w:rFonts w:ascii="仿宋_GB2312" w:eastAsia="仿宋_GB2312"/>
          <w:color w:val="333333"/>
          <w:sz w:val="32"/>
          <w:szCs w:val="32"/>
          <w:shd w:val="clear" w:color="auto" w:fill="FFFFFF"/>
        </w:rPr>
        <w:t>办理”</w:t>
      </w:r>
      <w:r>
        <w:rPr>
          <w:rFonts w:hint="eastAsia" w:ascii="仿宋_GB2312" w:eastAsia="仿宋_GB2312"/>
          <w:color w:val="333333"/>
          <w:sz w:val="32"/>
          <w:szCs w:val="32"/>
          <w:shd w:val="clear" w:color="auto" w:fill="FFFFFF"/>
        </w:rPr>
        <w:t>。 在行政服务中心四楼设立“工程建设项目一窗办”集中办证窗口，并在窗口受理、办结，工程建设项目从立项到竣工验收的相关工作，强化了“一窗式”服务功能；解决群众企业在交易窗口、税务窗口、登记窗口“多头跑、重复报”的问题，实现不动产登记“一门受理、一网办结、只跑一次”，办事效率得到极大的提高。</w:t>
      </w:r>
      <w:r>
        <w:rPr>
          <w:rFonts w:hint="eastAsia" w:ascii="仿宋_GB2312" w:eastAsia="仿宋_GB2312"/>
          <w:b/>
          <w:bCs/>
          <w:color w:val="333333"/>
          <w:sz w:val="32"/>
          <w:szCs w:val="32"/>
          <w:shd w:val="clear" w:color="auto" w:fill="FFFFFF"/>
          <w:lang w:val="en-US" w:eastAsia="zh-CN"/>
        </w:rPr>
        <w:t>三是</w:t>
      </w:r>
      <w:r>
        <w:rPr>
          <w:rFonts w:hint="eastAsia" w:ascii="仿宋_GB2312" w:eastAsia="仿宋_GB2312"/>
          <w:color w:val="333333"/>
          <w:sz w:val="32"/>
          <w:szCs w:val="32"/>
          <w:shd w:val="clear" w:color="auto" w:fill="FFFFFF"/>
        </w:rPr>
        <w:t>优化审批流程。根据“多审合一、多测合一、多证合一”的新政策所要求的办事流程和所需资料分门别类地出台了公共划拨用地类、工业出让类、房地产开发等商业出让类的报建《办事指南》。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lang w:eastAsia="zh-CN"/>
        </w:rPr>
        <w:t>（二）</w:t>
      </w:r>
      <w:r>
        <w:rPr>
          <w:rFonts w:hint="eastAsia" w:ascii="楷体" w:hAnsi="楷体" w:eastAsia="楷体" w:cs="楷体"/>
          <w:b/>
          <w:bCs/>
          <w:sz w:val="32"/>
          <w:szCs w:val="32"/>
          <w:highlight w:val="none"/>
        </w:rPr>
        <w:t>社会满意度及可持续性影响</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2020年，我局荣获2020年度全市自然资源绩效管理优秀单位，在龙南市高质量发展考评中，农业农村局荣获八个先进集体，分别是平安建设工作先进奖、六大攻坚战先进职能部门、精准扶贫攻坚战先进奖、新型城镇化攻坚战先进奖、全域旅游工作先进奖、安商服务职能部门先进奖、“三城同创”工作先进奖、公共机构节能工作先进奖，荣获2020年度行政服务模范窗口。</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三、部门整体支出绩效中存在问题及改进措施</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sz w:val="32"/>
          <w:szCs w:val="32"/>
          <w:highlight w:val="none"/>
        </w:rPr>
      </w:pPr>
      <w:r>
        <w:rPr>
          <w:rFonts w:hint="eastAsia" w:ascii="楷体" w:hAnsi="楷体" w:eastAsia="楷体" w:cs="楷体"/>
          <w:b/>
          <w:bCs/>
          <w:sz w:val="32"/>
          <w:szCs w:val="32"/>
          <w:highlight w:val="none"/>
        </w:rPr>
        <w:t>（一）主要问题及原因分析</w:t>
      </w:r>
    </w:p>
    <w:p>
      <w:pPr>
        <w:keepNext w:val="0"/>
        <w:keepLines w:val="0"/>
        <w:pageBreakBefore w:val="0"/>
        <w:kinsoku/>
        <w:wordWrap/>
        <w:overflowPunct/>
        <w:topLinePunct w:val="0"/>
        <w:autoSpaceDE/>
        <w:autoSpaceDN/>
        <w:bidi w:val="0"/>
        <w:adjustRightInd/>
        <w:snapToGrid/>
        <w:spacing w:line="560" w:lineRule="exact"/>
        <w:ind w:left="319" w:leftChars="152"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预算编制有待更严格执行，</w:t>
      </w:r>
      <w:r>
        <w:rPr>
          <w:rFonts w:hint="eastAsia" w:ascii="仿宋" w:hAnsi="仿宋" w:eastAsia="仿宋" w:cs="仿宋"/>
          <w:sz w:val="32"/>
          <w:szCs w:val="32"/>
          <w:highlight w:val="none"/>
          <w:lang w:val="en-US" w:eastAsia="zh-CN"/>
        </w:rPr>
        <w:t>因工作内容存在不确定性，部分项目指标无法量化，过于笼统，</w:t>
      </w:r>
      <w:r>
        <w:rPr>
          <w:rFonts w:hint="eastAsia" w:ascii="仿宋" w:hAnsi="仿宋" w:eastAsia="仿宋" w:cs="仿宋"/>
          <w:sz w:val="32"/>
          <w:szCs w:val="32"/>
          <w:highlight w:val="none"/>
        </w:rPr>
        <w:t>预算编制与实际支出项目有的存在差异，专项支出有待进一步加强</w:t>
      </w:r>
      <w:r>
        <w:rPr>
          <w:rFonts w:hint="eastAsia" w:ascii="仿宋" w:hAnsi="仿宋" w:eastAsia="仿宋" w:cs="仿宋"/>
          <w:sz w:val="32"/>
          <w:szCs w:val="32"/>
          <w:highlight w:val="none"/>
          <w:lang w:eastAsia="zh-CN"/>
        </w:rPr>
        <w:t>管理</w:t>
      </w:r>
      <w:r>
        <w:rPr>
          <w:rFonts w:hint="eastAsia" w:ascii="仿宋" w:hAnsi="仿宋" w:eastAsia="仿宋" w:cs="仿宋"/>
          <w:sz w:val="32"/>
          <w:szCs w:val="32"/>
          <w:highlight w:val="none"/>
        </w:rPr>
        <w:t>。</w:t>
      </w: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楷体" w:hAnsi="楷体" w:eastAsia="楷体" w:cs="楷体"/>
          <w:b/>
          <w:bCs/>
          <w:sz w:val="32"/>
          <w:szCs w:val="32"/>
          <w:highlight w:val="none"/>
        </w:rPr>
      </w:pPr>
      <w:r>
        <w:rPr>
          <w:rFonts w:hint="eastAsia" w:ascii="楷体" w:hAnsi="楷体" w:eastAsia="楷体" w:cs="楷体"/>
          <w:b/>
          <w:bCs/>
          <w:sz w:val="32"/>
          <w:szCs w:val="32"/>
          <w:highlight w:val="none"/>
        </w:rPr>
        <w:t>（二）改进的方向和具体措施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对今后的工作，</w:t>
      </w:r>
      <w:r>
        <w:rPr>
          <w:rFonts w:hint="eastAsia" w:ascii="仿宋" w:hAnsi="仿宋" w:eastAsia="仿宋" w:cs="仿宋"/>
          <w:b/>
          <w:bCs/>
          <w:sz w:val="32"/>
          <w:szCs w:val="32"/>
          <w:highlight w:val="none"/>
        </w:rPr>
        <w:t>一是</w:t>
      </w:r>
      <w:r>
        <w:rPr>
          <w:rFonts w:hint="eastAsia" w:ascii="仿宋" w:hAnsi="仿宋" w:eastAsia="仿宋" w:cs="仿宋"/>
          <w:sz w:val="32"/>
          <w:szCs w:val="32"/>
          <w:highlight w:val="none"/>
        </w:rPr>
        <w:t>按照预算规定的项目和用途严格财务审计，经费支出严格按预算规定项目的财务支出内容进行财务预算，在预算金额内严格控制费用的支出。</w:t>
      </w:r>
      <w:r>
        <w:rPr>
          <w:rFonts w:hint="eastAsia" w:ascii="仿宋" w:hAnsi="仿宋" w:eastAsia="仿宋" w:cs="仿宋"/>
          <w:b/>
          <w:bCs/>
          <w:sz w:val="32"/>
          <w:szCs w:val="32"/>
          <w:highlight w:val="none"/>
        </w:rPr>
        <w:t>二是</w:t>
      </w:r>
      <w:r>
        <w:rPr>
          <w:rFonts w:hint="eastAsia" w:ascii="仿宋" w:hAnsi="仿宋" w:eastAsia="仿宋" w:cs="仿宋"/>
          <w:sz w:val="32"/>
          <w:szCs w:val="32"/>
          <w:highlight w:val="none"/>
        </w:rPr>
        <w:t>进一步细化“三公”经费管理，杜绝挪用和挤占其他预算资金。</w:t>
      </w:r>
      <w:r>
        <w:rPr>
          <w:rFonts w:hint="eastAsia" w:ascii="仿宋" w:hAnsi="仿宋" w:eastAsia="仿宋" w:cs="仿宋"/>
          <w:b/>
          <w:bCs/>
          <w:sz w:val="32"/>
          <w:szCs w:val="32"/>
          <w:highlight w:val="none"/>
        </w:rPr>
        <w:t>三是</w:t>
      </w:r>
      <w:r>
        <w:rPr>
          <w:rFonts w:hint="eastAsia" w:ascii="仿宋" w:hAnsi="仿宋" w:eastAsia="仿宋" w:cs="仿宋"/>
          <w:sz w:val="32"/>
          <w:szCs w:val="32"/>
          <w:highlight w:val="none"/>
        </w:rPr>
        <w:t>预算财务分析常态化，定期做好预算支出财务分析，做好部门整体支出预算评价工作。</w:t>
      </w:r>
      <w:r>
        <w:rPr>
          <w:rFonts w:hint="eastAsia" w:ascii="仿宋" w:hAnsi="仿宋" w:eastAsia="仿宋" w:cs="仿宋"/>
          <w:sz w:val="32"/>
          <w:szCs w:val="32"/>
          <w:highlight w:val="none"/>
          <w:lang w:val="en-US" w:eastAsia="zh-CN"/>
        </w:rPr>
        <w:t>今后将进一步结合工作实际完善和细化绩效指标设计，量化优化相关绩效指标，争取财政支持，推动自然资源事业高质量可持续发展作出新的更大的贡献。</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绩效自评结果拟应用和公开情况</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根据自评结果明细项目，改进部门预算编制、执行过程中存在的不足，进一步提高预算编制的准确性、预算执行的有效性；调整和优化部门后续项目和以后年度预算支出方向和机构，加强部门资产管理，合理配置资源；加强财务管理，提高部门财务管理水平、财政资金使用效益和部门工作效率。充分运用自评结果，发挥其在促进项目管理工作，总结完善制度办法，合理调整资源配置等方面的积极作用。</w:t>
      </w:r>
    </w:p>
    <w:p>
      <w:pPr>
        <w:pStyle w:val="2"/>
        <w:rPr>
          <w:rFonts w:hint="eastAsia" w:ascii="仿宋" w:hAnsi="仿宋" w:eastAsia="仿宋" w:cs="仿宋"/>
          <w:sz w:val="32"/>
          <w:szCs w:val="32"/>
          <w:highlight w:val="yellow"/>
        </w:rPr>
      </w:pPr>
    </w:p>
    <w:p>
      <w:pPr>
        <w:pStyle w:val="2"/>
        <w:ind w:firstLine="3840" w:firstLineChars="1200"/>
        <w:rPr>
          <w:rFonts w:hint="default" w:ascii="仿宋" w:hAnsi="仿宋" w:eastAsia="仿宋" w:cs="仿宋"/>
          <w:sz w:val="32"/>
          <w:szCs w:val="32"/>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0CD49B"/>
    <w:multiLevelType w:val="singleLevel"/>
    <w:tmpl w:val="8E0CD49B"/>
    <w:lvl w:ilvl="0" w:tentative="0">
      <w:start w:val="3"/>
      <w:numFmt w:val="chineseCounting"/>
      <w:suff w:val="nothing"/>
      <w:lvlText w:val="（%1）"/>
      <w:lvlJc w:val="left"/>
      <w:rPr>
        <w:rFonts w:hint="eastAsia"/>
      </w:rPr>
    </w:lvl>
  </w:abstractNum>
  <w:abstractNum w:abstractNumId="1">
    <w:nsid w:val="179B73B7"/>
    <w:multiLevelType w:val="singleLevel"/>
    <w:tmpl w:val="179B73B7"/>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kZTQ4MzkyMzJkYmI4ODMzNjNkOTgzNGNhY2E3NTUifQ=="/>
  </w:docVars>
  <w:rsids>
    <w:rsidRoot w:val="00000000"/>
    <w:rsid w:val="001A2968"/>
    <w:rsid w:val="002715F0"/>
    <w:rsid w:val="013A0564"/>
    <w:rsid w:val="034D362B"/>
    <w:rsid w:val="06F7748E"/>
    <w:rsid w:val="07C436A6"/>
    <w:rsid w:val="08CF76BB"/>
    <w:rsid w:val="09A61B05"/>
    <w:rsid w:val="0E747F22"/>
    <w:rsid w:val="108F4F72"/>
    <w:rsid w:val="11667714"/>
    <w:rsid w:val="14B40086"/>
    <w:rsid w:val="165C02F8"/>
    <w:rsid w:val="1BAA69EC"/>
    <w:rsid w:val="229F5F41"/>
    <w:rsid w:val="25CF5B98"/>
    <w:rsid w:val="31666CBE"/>
    <w:rsid w:val="36EA5740"/>
    <w:rsid w:val="38E3413E"/>
    <w:rsid w:val="425047AF"/>
    <w:rsid w:val="43B049C5"/>
    <w:rsid w:val="44B3397F"/>
    <w:rsid w:val="452A6251"/>
    <w:rsid w:val="48AB1F96"/>
    <w:rsid w:val="4AA86D7D"/>
    <w:rsid w:val="4FC502C9"/>
    <w:rsid w:val="55137CB7"/>
    <w:rsid w:val="553B17A9"/>
    <w:rsid w:val="5BD347F5"/>
    <w:rsid w:val="6216449C"/>
    <w:rsid w:val="64C04B46"/>
    <w:rsid w:val="64E5667E"/>
    <w:rsid w:val="68316747"/>
    <w:rsid w:val="6BDD2CAA"/>
    <w:rsid w:val="6C353187"/>
    <w:rsid w:val="78BF4330"/>
    <w:rsid w:val="7E1C31BC"/>
    <w:rsid w:val="7F497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customStyle="1" w:styleId="2">
    <w:name w:val="PlainText"/>
    <w:basedOn w:val="1"/>
    <w:autoRedefine/>
    <w:qFormat/>
    <w:uiPriority w:val="0"/>
    <w:pPr>
      <w:jc w:val="both"/>
      <w:textAlignment w:val="baseline"/>
    </w:pPr>
    <w:rPr>
      <w:rFonts w:ascii="宋体" w:hAnsi="Courier New" w:eastAsia="宋体"/>
      <w:kern w:val="2"/>
      <w:sz w:val="21"/>
      <w:szCs w:val="21"/>
      <w:lang w:val="en-US" w:eastAsia="zh-CN" w:bidi="ar-SA"/>
    </w:rPr>
  </w:style>
  <w:style w:type="paragraph" w:styleId="3">
    <w:name w:val="Normal Indent"/>
    <w:basedOn w:val="1"/>
    <w:qFormat/>
    <w:uiPriority w:val="0"/>
    <w:pPr>
      <w:ind w:firstLine="420" w:firstLineChars="200"/>
    </w:pPr>
    <w:rPr>
      <w:rFonts w:ascii="Calibri" w:hAnsi="Calibri" w:eastAsia="仿宋"/>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9782</Words>
  <Characters>10110</Characters>
  <Lines>0</Lines>
  <Paragraphs>0</Paragraphs>
  <TotalTime>1</TotalTime>
  <ScaleCrop>false</ScaleCrop>
  <LinksUpToDate>false</LinksUpToDate>
  <CharactersWithSpaces>10148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白雪飘凌</cp:lastModifiedBy>
  <cp:lastPrinted>2021-04-20T07:02:00Z</cp:lastPrinted>
  <dcterms:modified xsi:type="dcterms:W3CDTF">2025-03-05T08:03:49Z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5A42124BC26F42C8A7CD4489D277ED68</vt:lpwstr>
  </property>
  <property fmtid="{D5CDD505-2E9C-101B-9397-08002B2CF9AE}" pid="4" name="commondata">
    <vt:lpwstr>eyJoZGlkIjoiOWRjZDVjODUzMGI3Y2NmZTJhYjg4ZDRlODQ4YzJmYjQifQ==</vt:lpwstr>
  </property>
</Properties>
</file>