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龙南市太平河等16条河道管理范围划界项目绩效自评报告</w:t>
      </w:r>
    </w:p>
    <w:p>
      <w:pPr>
        <w:widowControl w:val="0"/>
        <w:spacing w:line="500" w:lineRule="exact"/>
        <w:ind w:firstLine="640"/>
        <w:jc w:val="center"/>
        <w:rPr>
          <w:rFonts w:cs="Times New Roman"/>
          <w:color w:val="000000" w:themeColor="text1"/>
          <w:sz w:val="32"/>
          <w:szCs w:val="32"/>
        </w:rPr>
      </w:pPr>
    </w:p>
    <w:p>
      <w:pPr>
        <w:pStyle w:val="3"/>
        <w:widowControl w:val="0"/>
        <w:spacing w:line="500" w:lineRule="exact"/>
        <w:ind w:firstLine="640"/>
        <w:rPr>
          <w:rFonts w:eastAsia="黑体" w:cs="Times New Roman"/>
          <w:b w:val="0"/>
          <w:bCs w:val="0"/>
          <w:color w:val="000000" w:themeColor="text1"/>
          <w:sz w:val="32"/>
        </w:rPr>
      </w:pPr>
      <w:r>
        <w:rPr>
          <w:rFonts w:hAnsi="黑体" w:eastAsia="黑体" w:cs="Times New Roman"/>
          <w:b w:val="0"/>
          <w:bCs w:val="0"/>
          <w:color w:val="000000" w:themeColor="text1"/>
          <w:sz w:val="32"/>
        </w:rPr>
        <w:t>一、</w:t>
      </w:r>
      <w:r>
        <w:rPr>
          <w:rFonts w:hint="eastAsia" w:hAnsi="黑体" w:eastAsia="黑体" w:cs="Times New Roman"/>
          <w:b w:val="0"/>
          <w:bCs w:val="0"/>
          <w:color w:val="000000" w:themeColor="text1"/>
          <w:sz w:val="32"/>
        </w:rPr>
        <w:t>基本情况</w:t>
      </w:r>
    </w:p>
    <w:p>
      <w:pPr>
        <w:pStyle w:val="4"/>
        <w:widowControl w:val="0"/>
        <w:spacing w:line="500" w:lineRule="exact"/>
        <w:ind w:firstLine="640"/>
      </w:pPr>
      <w:r>
        <w:rPr>
          <w:rFonts w:hint="eastAsia" w:cs="Times New Roman"/>
          <w:bCs w:val="0"/>
          <w:color w:val="000000" w:themeColor="text1"/>
          <w:sz w:val="32"/>
          <w:szCs w:val="22"/>
        </w:rPr>
        <w:t>为进一步加强全市河道管理保护，保障防洪、供水、生态安全，充分发挥河道工程效益，维护河道综合动能，解决因河道管理范围边界不清、土地权属不明导致的侵占河道管理与保护范围、破环河道、影响河道安全运行等问题。根据省市有关文件及河长制考核要求，2020 年我市我市需完成16条市境内流域面积在50-1000平方公里的河道管理范围划界工作，划界成果需报市级人民政府批准后向社会公告。</w:t>
      </w:r>
    </w:p>
    <w:p>
      <w:pPr>
        <w:widowControl w:val="0"/>
        <w:spacing w:line="500" w:lineRule="exact"/>
        <w:ind w:firstLine="640"/>
        <w:rPr>
          <w:rFonts w:eastAsia="黑体" w:cs="Times New Roman"/>
          <w:color w:val="000000" w:themeColor="text1"/>
          <w:sz w:val="32"/>
        </w:rPr>
      </w:pPr>
      <w:r>
        <w:rPr>
          <w:rFonts w:hAnsi="黑体" w:eastAsia="黑体" w:cs="Times New Roman"/>
          <w:color w:val="000000" w:themeColor="text1"/>
          <w:sz w:val="32"/>
        </w:rPr>
        <w:t>二、</w:t>
      </w:r>
      <w:r>
        <w:rPr>
          <w:rFonts w:hint="eastAsia" w:hAnsi="黑体" w:eastAsia="黑体" w:cs="Times New Roman"/>
          <w:color w:val="000000" w:themeColor="text1"/>
          <w:sz w:val="32"/>
        </w:rPr>
        <w:t>综合评价结论</w:t>
      </w:r>
    </w:p>
    <w:p>
      <w:pPr>
        <w:pStyle w:val="4"/>
        <w:widowControl w:val="0"/>
        <w:spacing w:line="500" w:lineRule="exact"/>
        <w:ind w:firstLine="640"/>
        <w:rPr>
          <w:rFonts w:eastAsia="楷体" w:cs="Times New Roman"/>
          <w:bCs w:val="0"/>
          <w:color w:val="000000" w:themeColor="text1"/>
          <w:sz w:val="32"/>
        </w:rPr>
      </w:pPr>
      <w:r>
        <w:rPr>
          <w:rFonts w:hAnsi="楷体" w:eastAsia="楷体" w:cs="Times New Roman"/>
          <w:bCs w:val="0"/>
          <w:color w:val="000000" w:themeColor="text1"/>
          <w:sz w:val="32"/>
        </w:rPr>
        <w:t>（一）自评依据</w:t>
      </w:r>
    </w:p>
    <w:p>
      <w:pPr>
        <w:widowControl w:val="0"/>
        <w:spacing w:line="500" w:lineRule="exact"/>
        <w:ind w:firstLine="640"/>
        <w:rPr>
          <w:rFonts w:ascii="仿宋_GB2312" w:hAnsi="黑体" w:cs="黑体"/>
          <w:bCs/>
          <w:color w:val="000000" w:themeColor="text1"/>
          <w:sz w:val="32"/>
          <w:szCs w:val="32"/>
        </w:rPr>
      </w:pP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1、依法划定河湖管理范围，加强了河湖管理的基础性工作，完成了2020年我省河湖长制年终考核的重要指标。进一步加强全市河道管理保护，解决因河道管理范围边界不清、土地权属不明导致的侵占河道管理与保护范围、破环河道、影响河道安全运行等问题。</w:t>
      </w:r>
    </w:p>
    <w:p>
      <w:pPr>
        <w:widowControl w:val="0"/>
        <w:spacing w:line="500" w:lineRule="exact"/>
        <w:ind w:firstLine="640"/>
        <w:rPr>
          <w:rFonts w:ascii="仿宋_GB2312" w:hAnsi="黑体" w:cs="黑体"/>
          <w:bCs/>
          <w:color w:val="000000" w:themeColor="text1"/>
          <w:sz w:val="32"/>
          <w:szCs w:val="32"/>
        </w:rPr>
      </w:pP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2、《中华人民共和国预算法》等国家相关法律、法规和规章制度相关政策和管理制度；水利行业标准及技术规范等。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</w:rPr>
      </w:pP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3、完成了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 w:eastAsia="zh-TW"/>
        </w:rPr>
        <w:t>包括报告编制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（含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 w:eastAsia="zh-TW"/>
        </w:rPr>
        <w:t>地形图测量、水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文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 w:eastAsia="zh-TW"/>
        </w:rPr>
        <w:t>分析计算、</w:t>
      </w:r>
      <w:r>
        <w:rPr>
          <w:rStyle w:val="20"/>
          <w:rFonts w:ascii="宋体" w:hAnsi="宋体" w:eastAsia="仿宋_GB2312"/>
          <w:color w:val="000000"/>
          <w:spacing w:val="0"/>
          <w:sz w:val="32"/>
          <w:szCs w:val="32"/>
          <w:lang w:val="zh-TW" w:eastAsia="zh-TW"/>
        </w:rPr>
        <w:t>管理界线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划定等）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 w:eastAsia="zh-TW"/>
        </w:rPr>
        <w:t>及</w:t>
      </w:r>
      <w:r>
        <w:rPr>
          <w:rStyle w:val="20"/>
          <w:rFonts w:ascii="宋体" w:hAnsi="宋体" w:eastAsia="仿宋_GB2312"/>
          <w:color w:val="000000"/>
          <w:spacing w:val="0"/>
          <w:sz w:val="32"/>
          <w:szCs w:val="32"/>
          <w:lang w:val="zh-TW" w:eastAsia="zh-TW"/>
        </w:rPr>
        <w:t>界桩界牌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、</w:t>
      </w:r>
      <w:r>
        <w:rPr>
          <w:rStyle w:val="20"/>
          <w:rFonts w:ascii="宋体" w:hAnsi="宋体" w:eastAsia="仿宋_GB2312"/>
          <w:color w:val="000000"/>
          <w:spacing w:val="0"/>
          <w:sz w:val="32"/>
          <w:szCs w:val="32"/>
          <w:lang w:val="zh-TW" w:eastAsia="zh-TW"/>
        </w:rPr>
        <w:t>保护标志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埋设</w:t>
      </w:r>
      <w:r>
        <w:rPr>
          <w:rStyle w:val="20"/>
          <w:rFonts w:ascii="宋体" w:hAnsi="宋体" w:eastAsia="仿宋_GB2312"/>
          <w:color w:val="000000"/>
          <w:spacing w:val="0"/>
          <w:sz w:val="32"/>
          <w:szCs w:val="32"/>
          <w:lang w:val="zh-TW" w:eastAsia="zh-TW"/>
        </w:rPr>
        <w:t>等</w:t>
      </w:r>
      <w:r>
        <w:rPr>
          <w:rStyle w:val="20"/>
          <w:rFonts w:hint="eastAsia" w:ascii="宋体" w:hAnsi="宋体" w:eastAsia="仿宋_GB2312"/>
          <w:color w:val="000000"/>
          <w:spacing w:val="0"/>
          <w:sz w:val="32"/>
          <w:szCs w:val="32"/>
          <w:lang w:val="zh-TW"/>
        </w:rPr>
        <w:t>并通过省级复核验收。</w:t>
      </w:r>
    </w:p>
    <w:p>
      <w:pPr>
        <w:pStyle w:val="4"/>
        <w:widowControl w:val="0"/>
        <w:spacing w:line="500" w:lineRule="exact"/>
        <w:ind w:firstLine="640"/>
        <w:rPr>
          <w:rFonts w:eastAsia="楷体" w:cs="Times New Roman"/>
          <w:bCs w:val="0"/>
          <w:color w:val="000000" w:themeColor="text1"/>
          <w:sz w:val="32"/>
        </w:rPr>
      </w:pPr>
      <w:r>
        <w:rPr>
          <w:rFonts w:hAnsi="楷体" w:eastAsia="楷体" w:cs="Times New Roman"/>
          <w:bCs w:val="0"/>
          <w:color w:val="000000" w:themeColor="text1"/>
          <w:sz w:val="32"/>
        </w:rPr>
        <w:t>（二）</w:t>
      </w:r>
      <w:r>
        <w:rPr>
          <w:rFonts w:hint="eastAsia" w:hAnsi="楷体" w:eastAsia="楷体" w:cs="Times New Roman"/>
          <w:bCs w:val="0"/>
          <w:color w:val="000000" w:themeColor="text1"/>
          <w:sz w:val="32"/>
        </w:rPr>
        <w:t>自评结果</w:t>
      </w:r>
    </w:p>
    <w:p>
      <w:pPr>
        <w:widowControl w:val="0"/>
        <w:spacing w:line="500" w:lineRule="exact"/>
        <w:ind w:firstLine="640"/>
        <w:rPr>
          <w:rFonts w:ascii="仿宋_GB2312" w:hAnsi="黑体" w:cs="黑体"/>
          <w:bCs/>
          <w:color w:val="000000" w:themeColor="text1"/>
          <w:sz w:val="32"/>
          <w:szCs w:val="32"/>
        </w:rPr>
      </w:pP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龙南市太平河等16条河道管理范围划界项目目标已全面完成，绩效自评为合格。</w:t>
      </w:r>
    </w:p>
    <w:p>
      <w:pPr>
        <w:widowControl w:val="0"/>
        <w:spacing w:line="500" w:lineRule="exact"/>
        <w:ind w:firstLine="640"/>
        <w:rPr>
          <w:rFonts w:eastAsia="黑体" w:cs="Times New Roman"/>
          <w:color w:val="000000" w:themeColor="text1"/>
          <w:sz w:val="32"/>
        </w:rPr>
      </w:pPr>
      <w:r>
        <w:rPr>
          <w:rFonts w:hAnsi="黑体" w:eastAsia="黑体" w:cs="Times New Roman"/>
          <w:color w:val="000000" w:themeColor="text1"/>
          <w:sz w:val="32"/>
        </w:rPr>
        <w:t>三、绩效</w:t>
      </w:r>
      <w:r>
        <w:rPr>
          <w:rFonts w:hint="eastAsia" w:hAnsi="黑体" w:eastAsia="黑体" w:cs="Times New Roman"/>
          <w:color w:val="000000" w:themeColor="text1"/>
          <w:sz w:val="32"/>
        </w:rPr>
        <w:t>目标完成情况分析</w:t>
      </w:r>
    </w:p>
    <w:p>
      <w:pPr>
        <w:pStyle w:val="4"/>
        <w:widowControl w:val="0"/>
        <w:spacing w:line="500" w:lineRule="exact"/>
        <w:ind w:firstLine="640"/>
        <w:rPr>
          <w:rFonts w:eastAsia="楷体" w:cs="Times New Roman"/>
          <w:bCs w:val="0"/>
          <w:color w:val="000000" w:themeColor="text1"/>
          <w:sz w:val="32"/>
        </w:rPr>
      </w:pPr>
      <w:r>
        <w:rPr>
          <w:rFonts w:hAnsi="楷体" w:eastAsia="楷体" w:cs="Times New Roman"/>
          <w:bCs w:val="0"/>
          <w:color w:val="000000" w:themeColor="text1"/>
          <w:sz w:val="32"/>
        </w:rPr>
        <w:t>（一）资金情况分析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</w:rPr>
      </w:pPr>
      <w:r>
        <w:rPr>
          <w:rFonts w:cs="Times New Roman"/>
          <w:color w:val="000000" w:themeColor="text1"/>
          <w:sz w:val="32"/>
        </w:rPr>
        <w:t>1.资金到位情况</w:t>
      </w:r>
    </w:p>
    <w:p>
      <w:pPr>
        <w:widowControl w:val="0"/>
        <w:spacing w:line="500" w:lineRule="exact"/>
        <w:ind w:firstLine="640"/>
        <w:rPr>
          <w:rFonts w:ascii="华文仿宋" w:hAnsi="华文仿宋" w:eastAsia="华文仿宋" w:cs="华文仿宋"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</w:rPr>
        <w:t>本级财政安排部门预算资金180万元，已到位180万元，到位率100%。</w:t>
      </w:r>
    </w:p>
    <w:p>
      <w:pPr>
        <w:widowControl w:val="0"/>
        <w:spacing w:line="500" w:lineRule="exact"/>
        <w:ind w:firstLine="640"/>
        <w:rPr>
          <w:rFonts w:ascii="华文仿宋" w:hAnsi="华文仿宋" w:eastAsia="华文仿宋" w:cs="华文仿宋"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</w:rPr>
        <w:t>2.资金执行情况</w:t>
      </w:r>
    </w:p>
    <w:p>
      <w:pPr>
        <w:widowControl w:val="0"/>
        <w:spacing w:line="500" w:lineRule="exact"/>
        <w:ind w:firstLine="640"/>
        <w:rPr>
          <w:rFonts w:ascii="华文仿宋" w:hAnsi="华文仿宋" w:eastAsia="华文仿宋" w:cs="华文仿宋"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</w:rPr>
        <w:t>部门预算资金涉及项目具已全部完成，完成投资179.1万元，完成率100%，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3.资金管理情况</w:t>
      </w:r>
    </w:p>
    <w:p>
      <w:pPr>
        <w:widowControl w:val="0"/>
        <w:spacing w:line="500" w:lineRule="exact"/>
        <w:ind w:firstLine="640"/>
        <w:rPr>
          <w:rFonts w:ascii="仿宋_GB2312" w:hAnsi="黑体" w:cs="黑体"/>
          <w:bCs/>
          <w:color w:val="000000" w:themeColor="text1"/>
          <w:sz w:val="32"/>
          <w:szCs w:val="32"/>
        </w:rPr>
      </w:pP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资金使用由市财政统一管理，按照专款专用原则，统筹分配使用，项目核算按照财政部年颁发的《基本建设财务管理规定》及相应的规定进行核算，财务资料分项目保管，无截留、挪用专项资金</w:t>
      </w:r>
      <w:r>
        <w:rPr>
          <w:rFonts w:hint="eastAsia" w:ascii="仿宋_GB2312" w:hAnsi="黑体" w:cs="黑体"/>
          <w:bCs/>
          <w:color w:val="000000" w:themeColor="text1"/>
          <w:sz w:val="32"/>
          <w:szCs w:val="32"/>
          <w:lang w:eastAsia="zh-CN"/>
        </w:rPr>
        <w:t>情况</w:t>
      </w:r>
      <w:r>
        <w:rPr>
          <w:rFonts w:hint="eastAsia" w:ascii="仿宋_GB2312" w:hAnsi="黑体" w:cs="黑体"/>
          <w:bCs/>
          <w:color w:val="000000" w:themeColor="text1"/>
          <w:sz w:val="32"/>
          <w:szCs w:val="32"/>
        </w:rPr>
        <w:t>。</w:t>
      </w:r>
      <w:bookmarkStart w:id="0" w:name="_GoBack"/>
      <w:bookmarkEnd w:id="0"/>
    </w:p>
    <w:p>
      <w:pPr>
        <w:pStyle w:val="4"/>
        <w:widowControl w:val="0"/>
        <w:spacing w:line="500" w:lineRule="exact"/>
        <w:ind w:firstLine="640"/>
        <w:rPr>
          <w:rFonts w:eastAsia="楷体" w:cs="Times New Roman"/>
          <w:bCs w:val="0"/>
          <w:color w:val="000000" w:themeColor="text1"/>
          <w:sz w:val="32"/>
        </w:rPr>
      </w:pPr>
      <w:r>
        <w:rPr>
          <w:rFonts w:hAnsi="楷体" w:eastAsia="楷体" w:cs="Times New Roman"/>
          <w:bCs w:val="0"/>
          <w:color w:val="000000" w:themeColor="text1"/>
          <w:sz w:val="32"/>
        </w:rPr>
        <w:t>（二）</w:t>
      </w:r>
      <w:r>
        <w:rPr>
          <w:rFonts w:hint="eastAsia" w:hAnsi="楷体" w:eastAsia="楷体" w:cs="Times New Roman"/>
          <w:bCs w:val="0"/>
          <w:color w:val="000000" w:themeColor="text1"/>
          <w:sz w:val="32"/>
        </w:rPr>
        <w:t>总体目标完成情况分析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1.组织实施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>在工程建设过程中，全面实行了项目法人责任制、招标投标制、建设监理制和合同管理制；招标投标过程符合省市县相关程序；各项目参建单位合同履约过程良好，项目基本能按照合同约定工期完工。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2.绩效管理</w:t>
      </w:r>
    </w:p>
    <w:p>
      <w:pPr>
        <w:widowControl w:val="0"/>
        <w:spacing w:line="500" w:lineRule="exact"/>
        <w:ind w:firstLine="640"/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>严格按照既定的资金绩效，实行现阶段可行的资金管理制度和办法，专户专帐专人管理，严格按照“报账制”进行资金管理，同时严格资金拨付手续，按照工程进度、合同要求实行进度拨款，确保目标绩效的完成。</w:t>
      </w:r>
    </w:p>
    <w:p>
      <w:pPr>
        <w:pStyle w:val="4"/>
        <w:widowControl w:val="0"/>
        <w:spacing w:line="500" w:lineRule="exact"/>
        <w:ind w:firstLine="640"/>
        <w:rPr>
          <w:rFonts w:eastAsia="楷体" w:cs="Times New Roman"/>
          <w:bCs w:val="0"/>
          <w:color w:val="000000" w:themeColor="text1"/>
          <w:sz w:val="32"/>
        </w:rPr>
      </w:pPr>
      <w:r>
        <w:rPr>
          <w:rFonts w:hAnsi="楷体" w:eastAsia="楷体" w:cs="Times New Roman"/>
          <w:bCs w:val="0"/>
          <w:color w:val="000000" w:themeColor="text1"/>
          <w:sz w:val="32"/>
        </w:rPr>
        <w:t>（三）</w:t>
      </w:r>
      <w:r>
        <w:rPr>
          <w:rFonts w:hint="eastAsia" w:hAnsi="楷体" w:eastAsia="楷体" w:cs="Times New Roman"/>
          <w:bCs w:val="0"/>
          <w:color w:val="000000" w:themeColor="text1"/>
          <w:sz w:val="32"/>
        </w:rPr>
        <w:t>绩效指标完成情况分析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1.项目数量指标</w:t>
      </w:r>
    </w:p>
    <w:p>
      <w:pPr>
        <w:pStyle w:val="4"/>
        <w:widowControl w:val="0"/>
        <w:spacing w:line="500" w:lineRule="exact"/>
        <w:ind w:firstLine="640"/>
        <w:rPr>
          <w:rFonts w:cs="Times New Roman"/>
          <w:bCs w:val="0"/>
          <w:color w:val="000000" w:themeColor="text1"/>
          <w:sz w:val="32"/>
          <w:szCs w:val="22"/>
        </w:rPr>
      </w:pPr>
      <w:r>
        <w:rPr>
          <w:rFonts w:hint="eastAsia" w:cs="Times New Roman"/>
          <w:bCs w:val="0"/>
          <w:color w:val="000000" w:themeColor="text1"/>
          <w:sz w:val="32"/>
          <w:szCs w:val="22"/>
        </w:rPr>
        <w:t>已完成理龙南县太平河等16条河道管理范围划界工作。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2.项目质量指标</w:t>
      </w:r>
    </w:p>
    <w:p>
      <w:pPr>
        <w:widowControl w:val="0"/>
        <w:spacing w:line="500" w:lineRule="exact"/>
        <w:ind w:firstLine="640"/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>实施项目参建各方建立了质量和安全管理体系，制定了相关的制度，良好的保证了工程的建设，施工质量总体满足设计及合同要求。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3.项目时效指标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24"/>
        </w:rPr>
      </w:pPr>
      <w:r>
        <w:rPr>
          <w:rFonts w:hint="eastAsia" w:ascii="仿宋_GB2312"/>
          <w:color w:val="000000" w:themeColor="text1"/>
          <w:sz w:val="32"/>
          <w:szCs w:val="32"/>
        </w:rPr>
        <w:t>资金下达后及时进行资金分解，落实项目招投标并开工建设，建立健全各项管理制度，保障项目在合同约定工期内完成项目建设，达到既定的绩效目标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</w:rPr>
      </w:pPr>
      <w:r>
        <w:rPr>
          <w:rFonts w:cs="Times New Roman"/>
          <w:color w:val="000000" w:themeColor="text1"/>
          <w:sz w:val="32"/>
        </w:rPr>
        <w:t>4.项目成本指标</w:t>
      </w:r>
    </w:p>
    <w:p>
      <w:pPr>
        <w:widowControl w:val="0"/>
        <w:spacing w:line="500" w:lineRule="exact"/>
        <w:ind w:firstLine="640"/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>上级已到位资金根据绩效目标用于项目建设，在建设过程中，我县严控无故增加投资、挪用资金等现象，确保上级到位资金全部用于项目主体工程建设，保证项目按时保质保量完成，确保年终绩效目标的完成。</w:t>
      </w:r>
    </w:p>
    <w:p>
      <w:pPr>
        <w:widowControl w:val="0"/>
        <w:spacing w:line="500" w:lineRule="exact"/>
        <w:ind w:firstLine="640"/>
        <w:outlineLvl w:val="0"/>
        <w:rPr>
          <w:rFonts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hAnsi="黑体" w:eastAsia="黑体" w:cs="Times New Roman"/>
          <w:color w:val="000000" w:themeColor="text1"/>
          <w:sz w:val="32"/>
          <w:szCs w:val="32"/>
        </w:rPr>
        <w:t>四、发现的主要问题和改进措施</w:t>
      </w:r>
    </w:p>
    <w:p>
      <w:pPr>
        <w:widowControl w:val="0"/>
        <w:spacing w:line="500" w:lineRule="exact"/>
        <w:ind w:firstLine="640"/>
        <w:outlineLvl w:val="0"/>
        <w:rPr>
          <w:rFonts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>无。</w:t>
      </w: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</w:p>
    <w:p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  <w:r>
        <w:rPr>
          <w:rFonts w:hint="eastAsia" w:cs="Times New Roman"/>
          <w:color w:val="000000" w:themeColor="text1"/>
          <w:sz w:val="32"/>
          <w:szCs w:val="32"/>
        </w:rPr>
        <w:t xml:space="preserve">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18206"/>
    </w:sdtPr>
    <w:sdtEndPr>
      <w:rPr>
        <w:rFonts w:cs="Times New Roman"/>
        <w:sz w:val="20"/>
        <w:szCs w:val="20"/>
      </w:rPr>
    </w:sdtEndPr>
    <w:sdtContent>
      <w:p>
        <w:pPr>
          <w:pStyle w:val="6"/>
          <w:ind w:firstLine="0" w:firstLineChars="0"/>
          <w:jc w:val="center"/>
          <w:rPr>
            <w:rFonts w:cs="Times New Roman"/>
            <w:sz w:val="20"/>
            <w:szCs w:val="20"/>
          </w:rPr>
        </w:pPr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PAGE   \* MERGEFORMAT</w:instrText>
        </w:r>
        <w:r>
          <w:rPr>
            <w:rFonts w:cs="Times New Roman"/>
            <w:sz w:val="20"/>
            <w:szCs w:val="20"/>
          </w:rPr>
          <w:fldChar w:fldCharType="separate"/>
        </w:r>
        <w:r>
          <w:rPr>
            <w:rFonts w:cs="Times New Roman"/>
            <w:sz w:val="20"/>
            <w:szCs w:val="20"/>
            <w:lang w:val="zh-CN"/>
          </w:rPr>
          <w:t>3</w:t>
        </w:r>
        <w:r>
          <w:rPr>
            <w:rFonts w:cs="Times New Roman"/>
            <w:sz w:val="20"/>
            <w:szCs w:val="20"/>
          </w:rP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kZTQ4MzkyMzJkYmI4ODMzNjNkOTgzNGNhY2E3NTUifQ=="/>
  </w:docVars>
  <w:rsids>
    <w:rsidRoot w:val="009A6E08"/>
    <w:rsid w:val="00014CAD"/>
    <w:rsid w:val="000210E8"/>
    <w:rsid w:val="00032B03"/>
    <w:rsid w:val="0003365D"/>
    <w:rsid w:val="000346DB"/>
    <w:rsid w:val="00055853"/>
    <w:rsid w:val="000575FB"/>
    <w:rsid w:val="000601F2"/>
    <w:rsid w:val="00064AA3"/>
    <w:rsid w:val="00083AE1"/>
    <w:rsid w:val="00086883"/>
    <w:rsid w:val="00090FC7"/>
    <w:rsid w:val="000C5C46"/>
    <w:rsid w:val="000D1C6C"/>
    <w:rsid w:val="000D2F83"/>
    <w:rsid w:val="000D7AD7"/>
    <w:rsid w:val="000E07DD"/>
    <w:rsid w:val="001250CC"/>
    <w:rsid w:val="00140681"/>
    <w:rsid w:val="001859AF"/>
    <w:rsid w:val="001876C3"/>
    <w:rsid w:val="001A647E"/>
    <w:rsid w:val="001B6CC5"/>
    <w:rsid w:val="001C3C5B"/>
    <w:rsid w:val="00207F7A"/>
    <w:rsid w:val="00220EF5"/>
    <w:rsid w:val="00240DE9"/>
    <w:rsid w:val="00251863"/>
    <w:rsid w:val="0026291A"/>
    <w:rsid w:val="00293FF6"/>
    <w:rsid w:val="002A5097"/>
    <w:rsid w:val="002A67C6"/>
    <w:rsid w:val="002C2938"/>
    <w:rsid w:val="002C750C"/>
    <w:rsid w:val="002D2F44"/>
    <w:rsid w:val="002D40FB"/>
    <w:rsid w:val="002E0512"/>
    <w:rsid w:val="002E70F3"/>
    <w:rsid w:val="002E76AF"/>
    <w:rsid w:val="002E7D52"/>
    <w:rsid w:val="00320AD9"/>
    <w:rsid w:val="00321FE0"/>
    <w:rsid w:val="00332111"/>
    <w:rsid w:val="00361597"/>
    <w:rsid w:val="0036289F"/>
    <w:rsid w:val="003B77D6"/>
    <w:rsid w:val="00427E9A"/>
    <w:rsid w:val="00445EDC"/>
    <w:rsid w:val="0046647D"/>
    <w:rsid w:val="0047288E"/>
    <w:rsid w:val="00480286"/>
    <w:rsid w:val="00480D9A"/>
    <w:rsid w:val="004A0BFA"/>
    <w:rsid w:val="004A3DCD"/>
    <w:rsid w:val="004C4609"/>
    <w:rsid w:val="004C51DE"/>
    <w:rsid w:val="00511077"/>
    <w:rsid w:val="0051714F"/>
    <w:rsid w:val="00535F81"/>
    <w:rsid w:val="0054672D"/>
    <w:rsid w:val="00550698"/>
    <w:rsid w:val="00550F9D"/>
    <w:rsid w:val="00551F0F"/>
    <w:rsid w:val="00564C56"/>
    <w:rsid w:val="00584ADC"/>
    <w:rsid w:val="00595BED"/>
    <w:rsid w:val="005A3169"/>
    <w:rsid w:val="005C0223"/>
    <w:rsid w:val="005D1171"/>
    <w:rsid w:val="005D2092"/>
    <w:rsid w:val="005D7C55"/>
    <w:rsid w:val="005D7D1C"/>
    <w:rsid w:val="005E2791"/>
    <w:rsid w:val="005E6875"/>
    <w:rsid w:val="00602810"/>
    <w:rsid w:val="006201A8"/>
    <w:rsid w:val="00620628"/>
    <w:rsid w:val="00624AE3"/>
    <w:rsid w:val="00632020"/>
    <w:rsid w:val="0065554D"/>
    <w:rsid w:val="006645D5"/>
    <w:rsid w:val="006B4EEE"/>
    <w:rsid w:val="006D62D8"/>
    <w:rsid w:val="00720B2B"/>
    <w:rsid w:val="00725800"/>
    <w:rsid w:val="007455E6"/>
    <w:rsid w:val="00745C71"/>
    <w:rsid w:val="007470F9"/>
    <w:rsid w:val="00753B8B"/>
    <w:rsid w:val="00785ED6"/>
    <w:rsid w:val="0079311F"/>
    <w:rsid w:val="007A16CB"/>
    <w:rsid w:val="007B3836"/>
    <w:rsid w:val="007C5238"/>
    <w:rsid w:val="007D5885"/>
    <w:rsid w:val="007F37B3"/>
    <w:rsid w:val="007F7317"/>
    <w:rsid w:val="00840BA7"/>
    <w:rsid w:val="008462F8"/>
    <w:rsid w:val="00863BE8"/>
    <w:rsid w:val="008804D7"/>
    <w:rsid w:val="0088423B"/>
    <w:rsid w:val="008907AC"/>
    <w:rsid w:val="008B6EDA"/>
    <w:rsid w:val="008D30D3"/>
    <w:rsid w:val="009227F1"/>
    <w:rsid w:val="00924E67"/>
    <w:rsid w:val="009335F6"/>
    <w:rsid w:val="0096226A"/>
    <w:rsid w:val="0097478E"/>
    <w:rsid w:val="00980EEE"/>
    <w:rsid w:val="00996576"/>
    <w:rsid w:val="009A0592"/>
    <w:rsid w:val="009A6E08"/>
    <w:rsid w:val="009F3904"/>
    <w:rsid w:val="009F492B"/>
    <w:rsid w:val="00A101DB"/>
    <w:rsid w:val="00A23B7E"/>
    <w:rsid w:val="00A23BB8"/>
    <w:rsid w:val="00A3771F"/>
    <w:rsid w:val="00A411D4"/>
    <w:rsid w:val="00A43EA4"/>
    <w:rsid w:val="00A61DE0"/>
    <w:rsid w:val="00A75072"/>
    <w:rsid w:val="00A84A8F"/>
    <w:rsid w:val="00A9324C"/>
    <w:rsid w:val="00A95926"/>
    <w:rsid w:val="00AA5432"/>
    <w:rsid w:val="00AD6CF4"/>
    <w:rsid w:val="00AE5F8A"/>
    <w:rsid w:val="00AE6DAE"/>
    <w:rsid w:val="00B00FB1"/>
    <w:rsid w:val="00B01FF2"/>
    <w:rsid w:val="00B07DAB"/>
    <w:rsid w:val="00B30377"/>
    <w:rsid w:val="00B33A0E"/>
    <w:rsid w:val="00B37457"/>
    <w:rsid w:val="00B474BB"/>
    <w:rsid w:val="00B97A4A"/>
    <w:rsid w:val="00BA2FDB"/>
    <w:rsid w:val="00BC02B7"/>
    <w:rsid w:val="00BC16B7"/>
    <w:rsid w:val="00BD0B3A"/>
    <w:rsid w:val="00BE67F1"/>
    <w:rsid w:val="00BF3C9D"/>
    <w:rsid w:val="00BF781C"/>
    <w:rsid w:val="00C16307"/>
    <w:rsid w:val="00C21900"/>
    <w:rsid w:val="00C570C4"/>
    <w:rsid w:val="00C717FA"/>
    <w:rsid w:val="00C752CF"/>
    <w:rsid w:val="00CA2315"/>
    <w:rsid w:val="00CA635E"/>
    <w:rsid w:val="00CC295C"/>
    <w:rsid w:val="00CD6421"/>
    <w:rsid w:val="00D04052"/>
    <w:rsid w:val="00D1438F"/>
    <w:rsid w:val="00D15B15"/>
    <w:rsid w:val="00D329D0"/>
    <w:rsid w:val="00D74B44"/>
    <w:rsid w:val="00D74C86"/>
    <w:rsid w:val="00D814D9"/>
    <w:rsid w:val="00D85338"/>
    <w:rsid w:val="00D86267"/>
    <w:rsid w:val="00D9111D"/>
    <w:rsid w:val="00D979D1"/>
    <w:rsid w:val="00DC3D04"/>
    <w:rsid w:val="00DD476D"/>
    <w:rsid w:val="00DF0146"/>
    <w:rsid w:val="00DF5A11"/>
    <w:rsid w:val="00DF7D00"/>
    <w:rsid w:val="00E016A9"/>
    <w:rsid w:val="00E12F40"/>
    <w:rsid w:val="00E25971"/>
    <w:rsid w:val="00E30EDB"/>
    <w:rsid w:val="00E5507C"/>
    <w:rsid w:val="00E661E0"/>
    <w:rsid w:val="00E73386"/>
    <w:rsid w:val="00E747D2"/>
    <w:rsid w:val="00E87275"/>
    <w:rsid w:val="00EA099F"/>
    <w:rsid w:val="00EA3DD1"/>
    <w:rsid w:val="00EA7515"/>
    <w:rsid w:val="00EC3DB7"/>
    <w:rsid w:val="00ED1286"/>
    <w:rsid w:val="00F006FB"/>
    <w:rsid w:val="00F010AB"/>
    <w:rsid w:val="00F0409D"/>
    <w:rsid w:val="00F057BF"/>
    <w:rsid w:val="00F10363"/>
    <w:rsid w:val="00F318F4"/>
    <w:rsid w:val="00F5028C"/>
    <w:rsid w:val="00F55D46"/>
    <w:rsid w:val="00F614EB"/>
    <w:rsid w:val="00F91AC7"/>
    <w:rsid w:val="00FB6B63"/>
    <w:rsid w:val="00FC00DB"/>
    <w:rsid w:val="00FC15FE"/>
    <w:rsid w:val="00FF7DEA"/>
    <w:rsid w:val="010B125D"/>
    <w:rsid w:val="029309B7"/>
    <w:rsid w:val="03502224"/>
    <w:rsid w:val="039933DD"/>
    <w:rsid w:val="04700628"/>
    <w:rsid w:val="05714631"/>
    <w:rsid w:val="05E8680A"/>
    <w:rsid w:val="05FD0DE8"/>
    <w:rsid w:val="061F2432"/>
    <w:rsid w:val="07313F1B"/>
    <w:rsid w:val="08410C6A"/>
    <w:rsid w:val="08ED1DEB"/>
    <w:rsid w:val="0C4A6663"/>
    <w:rsid w:val="0E734082"/>
    <w:rsid w:val="0F1E2F5F"/>
    <w:rsid w:val="11211273"/>
    <w:rsid w:val="116E38E1"/>
    <w:rsid w:val="11C62D85"/>
    <w:rsid w:val="126E1828"/>
    <w:rsid w:val="13BD4BDA"/>
    <w:rsid w:val="152677C7"/>
    <w:rsid w:val="19EB1347"/>
    <w:rsid w:val="1A69256F"/>
    <w:rsid w:val="1A6B41CB"/>
    <w:rsid w:val="1AE02957"/>
    <w:rsid w:val="1BAB1399"/>
    <w:rsid w:val="1BAD2058"/>
    <w:rsid w:val="1CC12140"/>
    <w:rsid w:val="1F233006"/>
    <w:rsid w:val="1F332D60"/>
    <w:rsid w:val="1FF87577"/>
    <w:rsid w:val="2084529F"/>
    <w:rsid w:val="20E80063"/>
    <w:rsid w:val="21531EA5"/>
    <w:rsid w:val="21894428"/>
    <w:rsid w:val="21C02F29"/>
    <w:rsid w:val="236343C3"/>
    <w:rsid w:val="244E7D3E"/>
    <w:rsid w:val="255053C7"/>
    <w:rsid w:val="258C12B8"/>
    <w:rsid w:val="263140DF"/>
    <w:rsid w:val="26743F39"/>
    <w:rsid w:val="26EE4E0C"/>
    <w:rsid w:val="287D637F"/>
    <w:rsid w:val="28AE1D8A"/>
    <w:rsid w:val="29AD3129"/>
    <w:rsid w:val="2B5A2781"/>
    <w:rsid w:val="2D4644BC"/>
    <w:rsid w:val="2D62194C"/>
    <w:rsid w:val="2E7A6C27"/>
    <w:rsid w:val="2FCA5933"/>
    <w:rsid w:val="2FD9121C"/>
    <w:rsid w:val="300337ED"/>
    <w:rsid w:val="308A460F"/>
    <w:rsid w:val="31362FD3"/>
    <w:rsid w:val="316D584F"/>
    <w:rsid w:val="330D4092"/>
    <w:rsid w:val="332271B9"/>
    <w:rsid w:val="33617D9A"/>
    <w:rsid w:val="33853BAD"/>
    <w:rsid w:val="348B6ECD"/>
    <w:rsid w:val="34F66424"/>
    <w:rsid w:val="350135FC"/>
    <w:rsid w:val="35DA260E"/>
    <w:rsid w:val="36712AC3"/>
    <w:rsid w:val="36BA57CD"/>
    <w:rsid w:val="37753A04"/>
    <w:rsid w:val="377C1E92"/>
    <w:rsid w:val="38027729"/>
    <w:rsid w:val="386965BA"/>
    <w:rsid w:val="3A8517AC"/>
    <w:rsid w:val="3ADA503E"/>
    <w:rsid w:val="3B0307AD"/>
    <w:rsid w:val="3B4A6A64"/>
    <w:rsid w:val="3B5B67F2"/>
    <w:rsid w:val="3B835050"/>
    <w:rsid w:val="3D2A45F7"/>
    <w:rsid w:val="3DBC71AB"/>
    <w:rsid w:val="3EAB0AFA"/>
    <w:rsid w:val="3EF874CB"/>
    <w:rsid w:val="403A4769"/>
    <w:rsid w:val="411E3E7F"/>
    <w:rsid w:val="422A4612"/>
    <w:rsid w:val="424574E3"/>
    <w:rsid w:val="42483840"/>
    <w:rsid w:val="430F0FDF"/>
    <w:rsid w:val="43213C9F"/>
    <w:rsid w:val="4338429D"/>
    <w:rsid w:val="44D120AF"/>
    <w:rsid w:val="44ED7F63"/>
    <w:rsid w:val="454F7077"/>
    <w:rsid w:val="482964B8"/>
    <w:rsid w:val="483F2DFB"/>
    <w:rsid w:val="49F416B9"/>
    <w:rsid w:val="4A5D3D74"/>
    <w:rsid w:val="4C447D95"/>
    <w:rsid w:val="4E2B3842"/>
    <w:rsid w:val="502277C1"/>
    <w:rsid w:val="51283F24"/>
    <w:rsid w:val="51E369A8"/>
    <w:rsid w:val="532F5FF7"/>
    <w:rsid w:val="53E044C2"/>
    <w:rsid w:val="54B6620F"/>
    <w:rsid w:val="564C1F99"/>
    <w:rsid w:val="56875EF8"/>
    <w:rsid w:val="56891568"/>
    <w:rsid w:val="596011FE"/>
    <w:rsid w:val="59C6350A"/>
    <w:rsid w:val="5B4E751F"/>
    <w:rsid w:val="5C041F25"/>
    <w:rsid w:val="5D4A3361"/>
    <w:rsid w:val="5F435F84"/>
    <w:rsid w:val="60434615"/>
    <w:rsid w:val="60777A70"/>
    <w:rsid w:val="61050A48"/>
    <w:rsid w:val="611967DE"/>
    <w:rsid w:val="625528F9"/>
    <w:rsid w:val="63FA3B06"/>
    <w:rsid w:val="661F6D77"/>
    <w:rsid w:val="672A52C3"/>
    <w:rsid w:val="681E554C"/>
    <w:rsid w:val="68FD2F19"/>
    <w:rsid w:val="69600027"/>
    <w:rsid w:val="6AF85976"/>
    <w:rsid w:val="6BC158E7"/>
    <w:rsid w:val="6BDB696F"/>
    <w:rsid w:val="6C4067DA"/>
    <w:rsid w:val="6DDB03CB"/>
    <w:rsid w:val="6DFF04B8"/>
    <w:rsid w:val="6E631EFD"/>
    <w:rsid w:val="6E9C0D65"/>
    <w:rsid w:val="6EBE69B1"/>
    <w:rsid w:val="6F3561AC"/>
    <w:rsid w:val="6F8B323D"/>
    <w:rsid w:val="70B317DA"/>
    <w:rsid w:val="70BE2048"/>
    <w:rsid w:val="71537AA0"/>
    <w:rsid w:val="71703F9F"/>
    <w:rsid w:val="72497803"/>
    <w:rsid w:val="73143B39"/>
    <w:rsid w:val="76286D59"/>
    <w:rsid w:val="76301E78"/>
    <w:rsid w:val="77233923"/>
    <w:rsid w:val="774976D9"/>
    <w:rsid w:val="78A727BD"/>
    <w:rsid w:val="78FC0AF2"/>
    <w:rsid w:val="795B3566"/>
    <w:rsid w:val="79BB54D4"/>
    <w:rsid w:val="79E14411"/>
    <w:rsid w:val="7A563C3A"/>
    <w:rsid w:val="7A9364B2"/>
    <w:rsid w:val="7AD80FD6"/>
    <w:rsid w:val="7AF260CC"/>
    <w:rsid w:val="7B0B37F0"/>
    <w:rsid w:val="7C8A5C49"/>
    <w:rsid w:val="7CD139C5"/>
    <w:rsid w:val="7DF46359"/>
    <w:rsid w:val="7E50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13"/>
    <w:autoRedefine/>
    <w:unhideWhenUsed/>
    <w:qFormat/>
    <w:uiPriority w:val="9"/>
    <w:pPr>
      <w:keepNext/>
      <w:keepLines/>
      <w:outlineLvl w:val="1"/>
    </w:pPr>
    <w:rPr>
      <w:rFonts w:cstheme="majorBidi"/>
      <w:bCs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autoRedefine/>
    <w:qFormat/>
    <w:uiPriority w:val="0"/>
    <w:pPr>
      <w:shd w:val="clear" w:color="auto" w:fill="FFFFFF"/>
      <w:spacing w:line="353" w:lineRule="exact"/>
      <w:ind w:firstLine="420"/>
      <w:jc w:val="distribute"/>
    </w:pPr>
    <w:rPr>
      <w:rFonts w:ascii="黑体" w:hAnsi="黑体" w:eastAsia="Times New Roman"/>
      <w:spacing w:val="17"/>
      <w:kern w:val="0"/>
      <w:sz w:val="18"/>
      <w:szCs w:val="18"/>
    </w:rPr>
  </w:style>
  <w:style w:type="paragraph" w:styleId="5">
    <w:name w:val="Balloon Text"/>
    <w:basedOn w:val="1"/>
    <w:link w:val="14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3"/>
    <w:autoRedefine/>
    <w:qFormat/>
    <w:uiPriority w:val="9"/>
    <w:rPr>
      <w:rFonts w:ascii="Times New Roman" w:hAnsi="Times New Roman" w:eastAsia="仿宋_GB2312"/>
      <w:b/>
      <w:bCs/>
      <w:kern w:val="44"/>
      <w:sz w:val="28"/>
      <w:szCs w:val="44"/>
    </w:rPr>
  </w:style>
  <w:style w:type="character" w:customStyle="1" w:styleId="13">
    <w:name w:val="标题 2 Char"/>
    <w:basedOn w:val="9"/>
    <w:link w:val="4"/>
    <w:autoRedefine/>
    <w:qFormat/>
    <w:uiPriority w:val="9"/>
    <w:rPr>
      <w:rFonts w:ascii="Times New Roman" w:hAnsi="Times New Roman" w:eastAsia="仿宋_GB2312" w:cstheme="majorBidi"/>
      <w:bCs/>
      <w:sz w:val="28"/>
      <w:szCs w:val="32"/>
    </w:rPr>
  </w:style>
  <w:style w:type="character" w:customStyle="1" w:styleId="14">
    <w:name w:val="批注框文本 Char"/>
    <w:basedOn w:val="9"/>
    <w:link w:val="5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5">
    <w:name w:val="正文1"/>
    <w:basedOn w:val="1"/>
    <w:link w:val="16"/>
    <w:autoRedefine/>
    <w:qFormat/>
    <w:uiPriority w:val="0"/>
    <w:pPr>
      <w:widowControl w:val="0"/>
      <w:adjustRightInd w:val="0"/>
      <w:snapToGrid w:val="0"/>
      <w:ind w:firstLine="640"/>
    </w:pPr>
    <w:rPr>
      <w:rFonts w:cs="Times New Roman"/>
      <w:sz w:val="32"/>
      <w:szCs w:val="32"/>
    </w:rPr>
  </w:style>
  <w:style w:type="character" w:customStyle="1" w:styleId="16">
    <w:name w:val="正文1 Char"/>
    <w:basedOn w:val="9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表名"/>
    <w:basedOn w:val="1"/>
    <w:link w:val="18"/>
    <w:qFormat/>
    <w:uiPriority w:val="0"/>
    <w:pPr>
      <w:widowControl w:val="0"/>
      <w:adjustRightInd w:val="0"/>
      <w:snapToGrid w:val="0"/>
      <w:spacing w:afterLines="50" w:line="240" w:lineRule="auto"/>
      <w:ind w:firstLine="0" w:firstLineChars="0"/>
    </w:pPr>
    <w:rPr>
      <w:rFonts w:cs="Times New Roman"/>
      <w:b/>
      <w:kern w:val="0"/>
      <w:sz w:val="32"/>
      <w:szCs w:val="32"/>
    </w:rPr>
  </w:style>
  <w:style w:type="character" w:customStyle="1" w:styleId="18">
    <w:name w:val="表名 Char"/>
    <w:basedOn w:val="9"/>
    <w:link w:val="17"/>
    <w:qFormat/>
    <w:uiPriority w:val="0"/>
    <w:rPr>
      <w:rFonts w:ascii="Times New Roman" w:hAnsi="Times New Roman" w:eastAsia="仿宋_GB2312" w:cs="Times New Roman"/>
      <w:b/>
      <w:kern w:val="0"/>
      <w:sz w:val="32"/>
      <w:szCs w:val="32"/>
    </w:rPr>
  </w:style>
  <w:style w:type="paragraph" w:customStyle="1" w:styleId="19">
    <w:name w:val="列出段落1"/>
    <w:basedOn w:val="1"/>
    <w:qFormat/>
    <w:uiPriority w:val="34"/>
    <w:pPr>
      <w:ind w:firstLine="420"/>
    </w:pPr>
  </w:style>
  <w:style w:type="character" w:customStyle="1" w:styleId="20">
    <w:name w:val="正文文本 Char"/>
    <w:basedOn w:val="9"/>
    <w:link w:val="2"/>
    <w:qFormat/>
    <w:uiPriority w:val="0"/>
    <w:rPr>
      <w:rFonts w:ascii="黑体" w:hAnsi="黑体" w:eastAsia="Times New Roman"/>
      <w:spacing w:val="17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23CF-57BE-4DA3-87D7-02F096BAF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196</Words>
  <Characters>1119</Characters>
  <Lines>9</Lines>
  <Paragraphs>2</Paragraphs>
  <TotalTime>1</TotalTime>
  <ScaleCrop>false</ScaleCrop>
  <LinksUpToDate>false</LinksUpToDate>
  <CharactersWithSpaces>1313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2019-06-06T09:00:00Z</dcterms:created>
  <dc:creator>张三</dc:creator>
  <cp:lastModifiedBy>白雪飘凌</cp:lastModifiedBy>
  <dcterms:modified xsi:type="dcterms:W3CDTF">2025-05-14T03:38:48Z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06EC6FB88EE44B57A78FF73034000B41</vt:lpwstr>
  </property>
</Properties>
</file>