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/>
          <w:bCs/>
          <w:color w:val="333333"/>
          <w:kern w:val="0"/>
          <w:sz w:val="44"/>
          <w:szCs w:val="44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/>
          <w:bCs/>
          <w:color w:val="333333"/>
          <w:kern w:val="0"/>
          <w:sz w:val="44"/>
          <w:szCs w:val="44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/>
          <w:bCs/>
          <w:color w:val="333333"/>
          <w:kern w:val="0"/>
          <w:sz w:val="44"/>
          <w:szCs w:val="44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/>
          <w:bCs/>
          <w:color w:val="333333"/>
          <w:kern w:val="0"/>
          <w:sz w:val="44"/>
          <w:szCs w:val="44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/>
          <w:bCs/>
          <w:color w:val="333333"/>
          <w:kern w:val="0"/>
          <w:sz w:val="44"/>
          <w:szCs w:val="44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Cs/>
          <w:color w:val="333333"/>
          <w:kern w:val="0"/>
          <w:sz w:val="44"/>
          <w:szCs w:val="44"/>
          <w:highlight w:val="white"/>
          <w:lang w:val="zh-CN"/>
        </w:rPr>
      </w:pPr>
      <w:r>
        <w:rPr>
          <w:rFonts w:hint="eastAsia" w:ascii="方正小标宋简体" w:eastAsia="方正小标宋简体" w:cs="仿宋"/>
          <w:bCs/>
          <w:color w:val="333333"/>
          <w:kern w:val="0"/>
          <w:sz w:val="44"/>
          <w:szCs w:val="44"/>
          <w:highlight w:val="white"/>
          <w:lang w:val="zh-CN"/>
        </w:rPr>
        <w:t>龙南市水利局</w:t>
      </w:r>
    </w:p>
    <w:p>
      <w:pPr>
        <w:autoSpaceDE w:val="0"/>
        <w:autoSpaceDN w:val="0"/>
        <w:adjustRightInd w:val="0"/>
        <w:spacing w:line="560" w:lineRule="atLeast"/>
        <w:jc w:val="center"/>
        <w:rPr>
          <w:rFonts w:ascii="方正小标宋简体" w:eastAsia="方正小标宋简体" w:cs="仿宋"/>
          <w:bCs/>
          <w:color w:val="333333"/>
          <w:kern w:val="0"/>
          <w:sz w:val="44"/>
          <w:szCs w:val="44"/>
          <w:highlight w:val="white"/>
          <w:lang w:val="zh-CN"/>
        </w:rPr>
      </w:pPr>
      <w:r>
        <w:rPr>
          <w:rFonts w:hint="eastAsia" w:ascii="方正小标宋简体" w:eastAsia="方正小标宋简体" w:cs="仿宋"/>
          <w:bCs/>
          <w:color w:val="333333"/>
          <w:kern w:val="0"/>
          <w:sz w:val="44"/>
          <w:szCs w:val="44"/>
          <w:highlight w:val="white"/>
          <w:lang w:val="zh-CN"/>
        </w:rPr>
        <w:t>部门整体支出绩效自评报告</w:t>
      </w:r>
    </w:p>
    <w:p>
      <w:pPr>
        <w:autoSpaceDE w:val="0"/>
        <w:autoSpaceDN w:val="0"/>
        <w:adjustRightInd w:val="0"/>
        <w:spacing w:line="560" w:lineRule="atLeast"/>
        <w:ind w:firstLine="640"/>
        <w:rPr>
          <w:rFonts w:asci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根据《龙南市财政局关于做好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0年度市本级预算项目和部门整体绩效评价工作的通知》文件精神，对我单位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度部门预算整体支出绩效进行了全面综合评价。整体支出为基本支出及项目支出，基本支出的评价重点是厉行节约保运转，降低行政运行成本。项目支出的评价重点是项目运行情况及惠及人口。经相关业务股室全面综合评价，我单位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0年度部门整体支出绩效自评分为98分。现将自评情况汇报如下：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一、单位基本概况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spacing w:line="560" w:lineRule="exact"/>
        <w:ind w:firstLine="60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（一）</w:t>
      </w:r>
      <w:r>
        <w:rPr>
          <w:rFonts w:ascii="仿宋_GB2312" w:eastAsia="仿宋_GB2312" w:cs="仿宋_GB2312"/>
          <w:sz w:val="32"/>
          <w:szCs w:val="32"/>
        </w:rPr>
        <w:t>负责保障水资源的合理开发和利用及生活、生产经营、生态环境用水 的统筹兼顾和保障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(二)</w:t>
      </w:r>
      <w:r>
        <w:rPr>
          <w:rFonts w:ascii="仿宋_GB2312" w:eastAsia="仿宋_GB2312" w:cs="仿宋_GB2312"/>
          <w:sz w:val="32"/>
          <w:szCs w:val="32"/>
        </w:rPr>
        <w:t xml:space="preserve"> 负责全市水利水电发展规划及有关专业规划编 制工作；指导监督水利工程、水域岸线管理、保护和综合运用，以 及水利建设与运行管理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(三)</w:t>
      </w:r>
      <w:r>
        <w:rPr>
          <w:rFonts w:ascii="仿宋_GB2312" w:eastAsia="仿宋_GB2312" w:cs="仿宋_GB2312"/>
          <w:sz w:val="32"/>
          <w:szCs w:val="32"/>
        </w:rPr>
        <w:t xml:space="preserve"> 负责水土保持治理工作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480" w:firstLineChars="15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（四）</w:t>
      </w:r>
      <w:r>
        <w:rPr>
          <w:rFonts w:ascii="仿宋_GB2312" w:eastAsia="仿宋_GB2312" w:cs="仿宋_GB2312"/>
          <w:sz w:val="32"/>
          <w:szCs w:val="32"/>
        </w:rPr>
        <w:t>负责农村饮水安全和节水灌溉等工程的建设与管理工作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(五)</w:t>
      </w:r>
      <w:r>
        <w:rPr>
          <w:rFonts w:ascii="仿宋_GB2312" w:eastAsia="仿宋_GB2312" w:cs="仿宋_GB2312"/>
          <w:sz w:val="32"/>
          <w:szCs w:val="32"/>
        </w:rPr>
        <w:t xml:space="preserve"> 负责水旱灾旱防御工作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(六)</w:t>
      </w:r>
      <w:r>
        <w:rPr>
          <w:rFonts w:ascii="仿宋_GB2312" w:eastAsia="仿宋_GB2312" w:cs="仿宋_GB2312"/>
          <w:sz w:val="32"/>
          <w:szCs w:val="32"/>
        </w:rPr>
        <w:t xml:space="preserve"> 指导农村水利社会化服务 体系建设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(七)</w:t>
      </w:r>
      <w:r>
        <w:rPr>
          <w:rFonts w:ascii="仿宋_GB2312" w:eastAsia="仿宋_GB2312" w:cs="仿宋_GB2312"/>
          <w:sz w:val="32"/>
          <w:szCs w:val="32"/>
        </w:rPr>
        <w:t xml:space="preserve"> 负责河道统一管理和保护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480" w:firstLineChars="15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（八）</w:t>
      </w:r>
      <w:r>
        <w:rPr>
          <w:rFonts w:ascii="仿宋_GB2312" w:eastAsia="仿宋_GB2312" w:cs="仿宋_GB2312"/>
          <w:sz w:val="32"/>
          <w:szCs w:val="32"/>
        </w:rPr>
        <w:t>负责涉水违法事件的查处和制止，协调、仲裁市域内的水事纠纷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(九)</w:t>
      </w:r>
      <w:r>
        <w:rPr>
          <w:rFonts w:ascii="仿宋_GB2312" w:eastAsia="仿宋_GB2312" w:cs="仿宋_GB2312"/>
          <w:sz w:val="32"/>
          <w:szCs w:val="32"/>
        </w:rPr>
        <w:t xml:space="preserve"> 负责水政、水 土保持的稽查和执法；保护全市水资源、水利工程、水土保持、 河道等有关设施；负责对全市水事活动进行监督、检查、勘测、 取证、调查和处理，维护正常的水事秩序；对公民、法人或其他 组织违反水法规的行为实施行政处罚或采取其他行政措施；配合 和协助公安和司法部门查处水事治安和刑事案件等职责</w:t>
      </w:r>
      <w:r>
        <w:rPr>
          <w:rFonts w:hint="eastAsia" w:ascii="仿宋_GB2312" w:eastAsia="仿宋_GB2312" w:cs="仿宋_GB2312"/>
          <w:sz w:val="32"/>
          <w:szCs w:val="32"/>
        </w:rPr>
        <w:t>.</w:t>
      </w:r>
    </w:p>
    <w:p>
      <w:pPr>
        <w:spacing w:line="560" w:lineRule="exact"/>
        <w:ind w:firstLine="480" w:firstLineChars="15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（十）</w:t>
      </w:r>
      <w:r>
        <w:rPr>
          <w:rFonts w:ascii="仿宋_GB2312" w:eastAsia="仿宋_GB2312" w:cs="仿宋_GB2312"/>
          <w:sz w:val="32"/>
          <w:szCs w:val="32"/>
        </w:rPr>
        <w:t>完成市委、市政府交办的其他任务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>
      <w:pPr>
        <w:spacing w:line="560" w:lineRule="exact"/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纳入本套部门预算汇编范围的单位共3个，包括：办公室、水政水资源与水土保持股、水利水电建设与管理股。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</w:p>
    <w:p>
      <w:pPr>
        <w:spacing w:line="560" w:lineRule="exact"/>
        <w:ind w:firstLine="63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共有人员编制34名，其中，行政编制9名，全部补助事业编制人数25名。现有在编在岗人员32名，退休人员24人。</w:t>
      </w:r>
    </w:p>
    <w:p>
      <w:pPr>
        <w:autoSpaceDE w:val="0"/>
        <w:autoSpaceDN w:val="0"/>
        <w:adjustRightInd w:val="0"/>
        <w:spacing w:before="150" w:line="560" w:lineRule="exact"/>
        <w:ind w:firstLine="643" w:firstLineChars="200"/>
        <w:rPr>
          <w:rFonts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  <w:t>（一）、部门整体支出概况</w:t>
      </w:r>
    </w:p>
    <w:p>
      <w:pPr>
        <w:autoSpaceDE w:val="0"/>
        <w:autoSpaceDN w:val="0"/>
        <w:adjustRightInd w:val="0"/>
        <w:spacing w:before="150" w:line="560" w:lineRule="exact"/>
        <w:ind w:firstLine="62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收入预算：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0年度年初预算数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565.62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万元，其中：单位部门预算收入中含非税收入项目22万，其余来源于预算内拨款，预算收入完成率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100%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。</w:t>
      </w:r>
    </w:p>
    <w:p>
      <w:pPr>
        <w:autoSpaceDE w:val="0"/>
        <w:autoSpaceDN w:val="0"/>
        <w:adjustRightInd w:val="0"/>
        <w:spacing w:before="150" w:line="560" w:lineRule="exact"/>
        <w:ind w:firstLine="62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支出预算：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0年年初预算数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565.62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万元，其中：基本支出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531.44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(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包括工资福利支出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338.64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商品和服务支出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175.83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 xml:space="preserve">,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其他资本性支出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34.16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对个人和家庭补助支出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16.97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)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，项目支出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34.16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万元。预算支出完成率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100%</w:t>
      </w:r>
    </w:p>
    <w:p>
      <w:pPr>
        <w:autoSpaceDE w:val="0"/>
        <w:autoSpaceDN w:val="0"/>
        <w:adjustRightInd w:val="0"/>
        <w:spacing w:line="560" w:lineRule="exact"/>
        <w:ind w:firstLine="941" w:firstLineChars="293"/>
        <w:jc w:val="left"/>
        <w:rPr>
          <w:rFonts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  <w:t>（二）整体支出绩效目标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预决算公开：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0年按照上级的要求，我单位在政府网站上进行了预决算公开。</w:t>
      </w:r>
    </w:p>
    <w:p>
      <w:pPr>
        <w:autoSpaceDE w:val="0"/>
        <w:autoSpaceDN w:val="0"/>
        <w:adjustRightInd w:val="0"/>
        <w:spacing w:line="560" w:lineRule="exact"/>
        <w:ind w:firstLine="617" w:firstLineChars="193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资产管理：我们进一步加强资产的管理，制定了《供销单位机关资产管理使用制度》等制度，明确了具体责任人，完善了固定资产档案，严格报批、销审等手续，做好资产登记工作，单位无任何资产流失现象。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“</w:t>
      </w:r>
      <w:bookmarkStart w:id="0" w:name="_GoBack"/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三公</w:t>
      </w:r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”经费控制情况：我单位贯彻落实上级有关精神，严格控制“三公”经费支出，取得了良好效果。具体情况如下：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“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三公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经费22万元，其中：公务接待费18万元，公务用车运行维护费4万元，无因公出国（境）费用。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项目绩效总目标完成情况：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0年，我单位实施的各项目及时完成。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  <w:t>（三）部门整体支出情况分析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从整体情况来看，我单位严格按照年初预算进行部门整体支出。在支出过程中，能严格遵守各项规章制度</w:t>
      </w: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,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在保证各项任务顺利完成的同时，严格落实厉行节约的原则，“三公”经费的使用严格控制在预算申报的范围内。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二、绩效评价工作情况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  <w:t>（一）绩效评价目的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  <w:t>此次绩效评价的目的是：严格落实《预算法》及省、市、市绩效管理工作的有关规定，进一步规范财政资金的管理，强化财政支出绩效理念，提升部门责任意识，提高资金使用效益，促进各项工作的发展。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楷体" w:hAnsi="楷体" w:eastAsia="楷体" w:cs="仿宋"/>
          <w:b/>
          <w:color w:val="333333"/>
          <w:kern w:val="0"/>
          <w:sz w:val="32"/>
          <w:szCs w:val="32"/>
          <w:highlight w:val="white"/>
          <w:lang w:val="zh-CN"/>
        </w:rPr>
        <w:t>（二）绩效评价的主要过程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  <w:t>根据绩效评价的要求，我们成立了自评工作领导小组，对照自评方案进行研究和布署，党组成员及各科室全程参与，按照自评方案的要求，对照各实施项目的内容逐条逐项自评。在自评过程发现问题，查找原因，及时纠正偏差，为下一步工作夯实基础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三、主要绩效及评价结论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0年部门整体支出绩效自评结果显示，我单位绩效管理情况较为理想，达到了年初设定的各项绩效目标。所有资金使用严格按审批程序办理、操作规范，会计核算结果真实、准确，各项支出严格按照各项制度执行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四、存在的问题</w:t>
      </w:r>
    </w:p>
    <w:p>
      <w:pPr>
        <w:autoSpaceDE w:val="0"/>
        <w:autoSpaceDN w:val="0"/>
        <w:adjustRightInd w:val="0"/>
        <w:spacing w:line="560" w:lineRule="exact"/>
        <w:ind w:firstLine="640"/>
        <w:jc w:val="left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内控制度需进一步完善，随着资金管理改革的进一步推进，我单位内部机构进行了相应的优化，建立健全了财务管理制度、固定资产管理制度、费用报销规程等制度，但仍需进一步强化财务约束监督体制。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五、有关建议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ascii="仿宋" w:eastAsia="仿宋" w:cs="华文仿宋"/>
          <w:color w:val="000000"/>
          <w:kern w:val="0"/>
          <w:sz w:val="32"/>
          <w:szCs w:val="32"/>
          <w:highlight w:val="white"/>
          <w:lang w:val="zh-CN"/>
        </w:rPr>
        <w:t> </w:t>
      </w:r>
      <w:r>
        <w:rPr>
          <w:rFonts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、科学合理编制预算，严格执行预算。进一步提高预算编制到位率，做准做全基本支出预算，做全项目支出预算，加强预算支出的审核、跟踪及预算执行情况分析，提高预算编制严谨性和可控性。　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、进一步加强项目资金管理。严格实行项目管理程序化，实现项目申报、实施、拨付、评价全流程监督与控制，规范专项资金管理，提高专项资金的使用效益。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</w:pPr>
      <w:r>
        <w:rPr>
          <w:rFonts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highlight w:val="white"/>
          <w:lang w:val="zh-CN"/>
        </w:rPr>
        <w:t>、进一步完善内部管理制度，提升管理效能，更好地履行生态文明建设职能。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highlight w:val="white"/>
          <w:lang w:val="zh-CN"/>
        </w:rPr>
        <w:t>六、其他需要说明的问题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  <w:t>无</w:t>
      </w: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750"/>
        <w:jc w:val="left"/>
        <w:rPr>
          <w:rFonts w:ascii="仿宋" w:hAnsi="仿宋" w:eastAsia="仿宋" w:cs="仿宋"/>
          <w:color w:val="000000"/>
          <w:kern w:val="0"/>
          <w:sz w:val="32"/>
          <w:szCs w:val="32"/>
          <w:highlight w:val="white"/>
          <w:lang w:val="zh-CN"/>
        </w:rPr>
      </w:pPr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kZTQ4MzkyMzJkYmI4ODMzNjNkOTgzNGNhY2E3NTUifQ=="/>
  </w:docVars>
  <w:rsids>
    <w:rsidRoot w:val="00277047"/>
    <w:rsid w:val="00000044"/>
    <w:rsid w:val="000028D4"/>
    <w:rsid w:val="00006541"/>
    <w:rsid w:val="00014EAD"/>
    <w:rsid w:val="000155AE"/>
    <w:rsid w:val="000205F9"/>
    <w:rsid w:val="0002226F"/>
    <w:rsid w:val="000379EF"/>
    <w:rsid w:val="000502B5"/>
    <w:rsid w:val="00051A0A"/>
    <w:rsid w:val="0005535D"/>
    <w:rsid w:val="00073231"/>
    <w:rsid w:val="000753A2"/>
    <w:rsid w:val="00084362"/>
    <w:rsid w:val="00090AE4"/>
    <w:rsid w:val="000C48CF"/>
    <w:rsid w:val="000E7725"/>
    <w:rsid w:val="00100AF5"/>
    <w:rsid w:val="00105B3E"/>
    <w:rsid w:val="00111007"/>
    <w:rsid w:val="00124F60"/>
    <w:rsid w:val="00125B85"/>
    <w:rsid w:val="00125E2D"/>
    <w:rsid w:val="001376A9"/>
    <w:rsid w:val="001405CA"/>
    <w:rsid w:val="0015084D"/>
    <w:rsid w:val="001540E3"/>
    <w:rsid w:val="0018149E"/>
    <w:rsid w:val="001869E7"/>
    <w:rsid w:val="00187D1D"/>
    <w:rsid w:val="00191980"/>
    <w:rsid w:val="00191DB5"/>
    <w:rsid w:val="00193D63"/>
    <w:rsid w:val="001B41BD"/>
    <w:rsid w:val="001B60A8"/>
    <w:rsid w:val="001C1CB4"/>
    <w:rsid w:val="001C2FD9"/>
    <w:rsid w:val="001E5D0D"/>
    <w:rsid w:val="001F7AA3"/>
    <w:rsid w:val="00210008"/>
    <w:rsid w:val="00220E1C"/>
    <w:rsid w:val="002257F7"/>
    <w:rsid w:val="0023348A"/>
    <w:rsid w:val="002410B9"/>
    <w:rsid w:val="00241936"/>
    <w:rsid w:val="00247EB2"/>
    <w:rsid w:val="002538D7"/>
    <w:rsid w:val="00276349"/>
    <w:rsid w:val="00277047"/>
    <w:rsid w:val="002B2D04"/>
    <w:rsid w:val="002B35A2"/>
    <w:rsid w:val="002E7D54"/>
    <w:rsid w:val="002F5ED2"/>
    <w:rsid w:val="003033E0"/>
    <w:rsid w:val="00307F6F"/>
    <w:rsid w:val="00314033"/>
    <w:rsid w:val="0036215A"/>
    <w:rsid w:val="00375AD5"/>
    <w:rsid w:val="00387129"/>
    <w:rsid w:val="003902C1"/>
    <w:rsid w:val="003A0F7F"/>
    <w:rsid w:val="003B1832"/>
    <w:rsid w:val="003E141B"/>
    <w:rsid w:val="003E4C23"/>
    <w:rsid w:val="00400FB4"/>
    <w:rsid w:val="004128F6"/>
    <w:rsid w:val="00413060"/>
    <w:rsid w:val="004340CE"/>
    <w:rsid w:val="0043519A"/>
    <w:rsid w:val="0045317F"/>
    <w:rsid w:val="00465142"/>
    <w:rsid w:val="004668E3"/>
    <w:rsid w:val="004718C5"/>
    <w:rsid w:val="00471B50"/>
    <w:rsid w:val="0047498F"/>
    <w:rsid w:val="004868C6"/>
    <w:rsid w:val="004943A3"/>
    <w:rsid w:val="004B0130"/>
    <w:rsid w:val="004B647B"/>
    <w:rsid w:val="004C5AD9"/>
    <w:rsid w:val="004E2AB4"/>
    <w:rsid w:val="004E776B"/>
    <w:rsid w:val="00522D1E"/>
    <w:rsid w:val="00524AB2"/>
    <w:rsid w:val="005256CA"/>
    <w:rsid w:val="00533462"/>
    <w:rsid w:val="00537A99"/>
    <w:rsid w:val="00590154"/>
    <w:rsid w:val="00592D95"/>
    <w:rsid w:val="0059724B"/>
    <w:rsid w:val="005A05B5"/>
    <w:rsid w:val="005A47B1"/>
    <w:rsid w:val="005C5C0B"/>
    <w:rsid w:val="005D539F"/>
    <w:rsid w:val="005E165B"/>
    <w:rsid w:val="00611B07"/>
    <w:rsid w:val="006349FE"/>
    <w:rsid w:val="00641D08"/>
    <w:rsid w:val="00646A43"/>
    <w:rsid w:val="006635F7"/>
    <w:rsid w:val="00695103"/>
    <w:rsid w:val="00697B34"/>
    <w:rsid w:val="006A569B"/>
    <w:rsid w:val="006D03F8"/>
    <w:rsid w:val="006D6743"/>
    <w:rsid w:val="006E320A"/>
    <w:rsid w:val="007025E3"/>
    <w:rsid w:val="0070544D"/>
    <w:rsid w:val="00717474"/>
    <w:rsid w:val="00721505"/>
    <w:rsid w:val="00727016"/>
    <w:rsid w:val="0074403F"/>
    <w:rsid w:val="0075168B"/>
    <w:rsid w:val="007944AF"/>
    <w:rsid w:val="007A2AC0"/>
    <w:rsid w:val="007A65CD"/>
    <w:rsid w:val="007A6F6C"/>
    <w:rsid w:val="007B3C39"/>
    <w:rsid w:val="007B4407"/>
    <w:rsid w:val="007C7949"/>
    <w:rsid w:val="007D3CF8"/>
    <w:rsid w:val="007E11DB"/>
    <w:rsid w:val="007E2CEF"/>
    <w:rsid w:val="007E6C50"/>
    <w:rsid w:val="007F3887"/>
    <w:rsid w:val="008035D9"/>
    <w:rsid w:val="008127EF"/>
    <w:rsid w:val="00814526"/>
    <w:rsid w:val="008166AA"/>
    <w:rsid w:val="00820D2A"/>
    <w:rsid w:val="00827A10"/>
    <w:rsid w:val="00833472"/>
    <w:rsid w:val="0084233B"/>
    <w:rsid w:val="008467EE"/>
    <w:rsid w:val="008577A9"/>
    <w:rsid w:val="00892091"/>
    <w:rsid w:val="00892A82"/>
    <w:rsid w:val="00895A38"/>
    <w:rsid w:val="008B1BA8"/>
    <w:rsid w:val="008B493B"/>
    <w:rsid w:val="008B592A"/>
    <w:rsid w:val="008C1107"/>
    <w:rsid w:val="008D1EBC"/>
    <w:rsid w:val="008F02EE"/>
    <w:rsid w:val="008F57B0"/>
    <w:rsid w:val="00900026"/>
    <w:rsid w:val="00907269"/>
    <w:rsid w:val="00910FA3"/>
    <w:rsid w:val="00923FE2"/>
    <w:rsid w:val="00936AE6"/>
    <w:rsid w:val="00943B59"/>
    <w:rsid w:val="0094697A"/>
    <w:rsid w:val="009531B0"/>
    <w:rsid w:val="00962956"/>
    <w:rsid w:val="00963D2E"/>
    <w:rsid w:val="00964172"/>
    <w:rsid w:val="00977C1A"/>
    <w:rsid w:val="009A600A"/>
    <w:rsid w:val="009A6825"/>
    <w:rsid w:val="009B6173"/>
    <w:rsid w:val="009C3AC4"/>
    <w:rsid w:val="009C7D10"/>
    <w:rsid w:val="009D14CE"/>
    <w:rsid w:val="009E1156"/>
    <w:rsid w:val="009E72CC"/>
    <w:rsid w:val="00A002C9"/>
    <w:rsid w:val="00A0108F"/>
    <w:rsid w:val="00A10A09"/>
    <w:rsid w:val="00A1196A"/>
    <w:rsid w:val="00A12204"/>
    <w:rsid w:val="00A22F0A"/>
    <w:rsid w:val="00A23C60"/>
    <w:rsid w:val="00A31E37"/>
    <w:rsid w:val="00A378DC"/>
    <w:rsid w:val="00A42695"/>
    <w:rsid w:val="00A43618"/>
    <w:rsid w:val="00A46E90"/>
    <w:rsid w:val="00A52349"/>
    <w:rsid w:val="00A621DB"/>
    <w:rsid w:val="00A70B87"/>
    <w:rsid w:val="00A72468"/>
    <w:rsid w:val="00A73D4C"/>
    <w:rsid w:val="00A82A7C"/>
    <w:rsid w:val="00A83001"/>
    <w:rsid w:val="00A8686D"/>
    <w:rsid w:val="00A87D02"/>
    <w:rsid w:val="00A94E3F"/>
    <w:rsid w:val="00AA1B69"/>
    <w:rsid w:val="00AC43C4"/>
    <w:rsid w:val="00AD273F"/>
    <w:rsid w:val="00AD7669"/>
    <w:rsid w:val="00AF1373"/>
    <w:rsid w:val="00B00FCB"/>
    <w:rsid w:val="00B15EDC"/>
    <w:rsid w:val="00B175A3"/>
    <w:rsid w:val="00B41497"/>
    <w:rsid w:val="00B61802"/>
    <w:rsid w:val="00B64284"/>
    <w:rsid w:val="00B65F2E"/>
    <w:rsid w:val="00B705E0"/>
    <w:rsid w:val="00B76667"/>
    <w:rsid w:val="00B76970"/>
    <w:rsid w:val="00B8243F"/>
    <w:rsid w:val="00B864CB"/>
    <w:rsid w:val="00B8657C"/>
    <w:rsid w:val="00BA531D"/>
    <w:rsid w:val="00BC6D29"/>
    <w:rsid w:val="00BE072F"/>
    <w:rsid w:val="00BF5FCF"/>
    <w:rsid w:val="00C10F11"/>
    <w:rsid w:val="00C1585C"/>
    <w:rsid w:val="00C3382E"/>
    <w:rsid w:val="00C3586B"/>
    <w:rsid w:val="00C40652"/>
    <w:rsid w:val="00C44842"/>
    <w:rsid w:val="00C61B75"/>
    <w:rsid w:val="00C65F42"/>
    <w:rsid w:val="00C66B78"/>
    <w:rsid w:val="00C70C41"/>
    <w:rsid w:val="00CB0E5D"/>
    <w:rsid w:val="00CC64F4"/>
    <w:rsid w:val="00CC6882"/>
    <w:rsid w:val="00CD3127"/>
    <w:rsid w:val="00CF711E"/>
    <w:rsid w:val="00CF7535"/>
    <w:rsid w:val="00D012AD"/>
    <w:rsid w:val="00D13133"/>
    <w:rsid w:val="00D177A6"/>
    <w:rsid w:val="00D205FA"/>
    <w:rsid w:val="00D2349C"/>
    <w:rsid w:val="00D534DF"/>
    <w:rsid w:val="00D62B34"/>
    <w:rsid w:val="00D81FD8"/>
    <w:rsid w:val="00D97027"/>
    <w:rsid w:val="00D976EE"/>
    <w:rsid w:val="00DA1DF5"/>
    <w:rsid w:val="00DA3B90"/>
    <w:rsid w:val="00DA7132"/>
    <w:rsid w:val="00DC0B03"/>
    <w:rsid w:val="00DC2D03"/>
    <w:rsid w:val="00DC420D"/>
    <w:rsid w:val="00DE3D04"/>
    <w:rsid w:val="00DE71D7"/>
    <w:rsid w:val="00DF0E82"/>
    <w:rsid w:val="00DF5153"/>
    <w:rsid w:val="00E01779"/>
    <w:rsid w:val="00E05B03"/>
    <w:rsid w:val="00E86EFD"/>
    <w:rsid w:val="00E950F4"/>
    <w:rsid w:val="00E97B3C"/>
    <w:rsid w:val="00EA6A1F"/>
    <w:rsid w:val="00EC7583"/>
    <w:rsid w:val="00EC7C3D"/>
    <w:rsid w:val="00ED5499"/>
    <w:rsid w:val="00F02303"/>
    <w:rsid w:val="00F17A43"/>
    <w:rsid w:val="00F265E7"/>
    <w:rsid w:val="00F275AB"/>
    <w:rsid w:val="00F43772"/>
    <w:rsid w:val="00F536CA"/>
    <w:rsid w:val="00F54490"/>
    <w:rsid w:val="00F613F3"/>
    <w:rsid w:val="00F720D7"/>
    <w:rsid w:val="00F74220"/>
    <w:rsid w:val="00F750AD"/>
    <w:rsid w:val="00F8302F"/>
    <w:rsid w:val="00F93AAD"/>
    <w:rsid w:val="00F971E8"/>
    <w:rsid w:val="00FA4CA0"/>
    <w:rsid w:val="00FB462D"/>
    <w:rsid w:val="00FC41A2"/>
    <w:rsid w:val="00FC4644"/>
    <w:rsid w:val="00FD2B1F"/>
    <w:rsid w:val="4B7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2022-04-02T02:46:00Z</dcterms:created>
  <dc:creator>User</dc:creator>
  <cp:lastModifiedBy>白雪飘凌</cp:lastModifiedBy>
  <cp:lastPrinted>2021-04-25T01:49:00Z</cp:lastPrinted>
  <dcterms:modified xsi:type="dcterms:W3CDTF">2025-03-17T02:06:55Z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19BB86CA33FD4BB6A03C3730E18A1AB7_12</vt:lpwstr>
  </property>
</Properties>
</file>