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B1FED3">
      <w:pPr>
        <w:keepNext w:val="0"/>
        <w:keepLines w:val="0"/>
        <w:pageBreakBefore w:val="0"/>
        <w:widowControl w:val="0"/>
        <w:kinsoku/>
        <w:wordWrap/>
        <w:overflowPunct w:val="0"/>
        <w:topLinePunct w:val="0"/>
        <w:autoSpaceDE/>
        <w:autoSpaceDN/>
        <w:bidi w:val="0"/>
        <w:adjustRightInd w:val="0"/>
        <w:snapToGrid w:val="0"/>
        <w:spacing w:line="580" w:lineRule="exact"/>
        <w:ind w:left="0" w:leftChars="0"/>
        <w:jc w:val="center"/>
        <w:textAlignment w:val="auto"/>
        <w:rPr>
          <w:rFonts w:hint="eastAsia" w:ascii="宋体" w:hAnsi="宋体" w:eastAsia="方正小标宋简体" w:cs="宋体"/>
          <w:color w:val="auto"/>
          <w:spacing w:val="0"/>
          <w:sz w:val="44"/>
          <w:szCs w:val="44"/>
          <w:lang w:val="en-US" w:eastAsia="zh-CN"/>
        </w:rPr>
      </w:pPr>
      <w:r>
        <w:rPr>
          <w:rFonts w:hint="eastAsia" w:ascii="宋体" w:hAnsi="宋体" w:eastAsia="方正小标宋简体" w:cs="宋体"/>
          <w:color w:val="auto"/>
          <w:spacing w:val="0"/>
          <w:sz w:val="44"/>
          <w:szCs w:val="44"/>
        </w:rPr>
        <w:t>龙南</w:t>
      </w:r>
      <w:r>
        <w:rPr>
          <w:rFonts w:hint="eastAsia" w:ascii="宋体" w:hAnsi="宋体" w:eastAsia="方正小标宋简体" w:cs="宋体"/>
          <w:color w:val="auto"/>
          <w:spacing w:val="0"/>
          <w:sz w:val="44"/>
          <w:szCs w:val="44"/>
          <w:lang w:val="en-US" w:eastAsia="zh-CN"/>
        </w:rPr>
        <w:t>支持工业企业发展若干政策“加快企业</w:t>
      </w:r>
    </w:p>
    <w:p w14:paraId="3DBBB9DE">
      <w:pPr>
        <w:keepNext w:val="0"/>
        <w:keepLines w:val="0"/>
        <w:pageBreakBefore w:val="0"/>
        <w:widowControl w:val="0"/>
        <w:kinsoku/>
        <w:wordWrap/>
        <w:overflowPunct w:val="0"/>
        <w:topLinePunct w:val="0"/>
        <w:autoSpaceDE/>
        <w:autoSpaceDN/>
        <w:bidi w:val="0"/>
        <w:adjustRightInd w:val="0"/>
        <w:snapToGrid w:val="0"/>
        <w:spacing w:line="580" w:lineRule="exact"/>
        <w:ind w:left="0" w:leftChars="0"/>
        <w:jc w:val="center"/>
        <w:textAlignment w:val="auto"/>
        <w:rPr>
          <w:rFonts w:hint="eastAsia" w:ascii="宋体" w:hAnsi="宋体" w:eastAsia="方正小标宋简体" w:cs="宋体"/>
          <w:color w:val="auto"/>
          <w:spacing w:val="0"/>
          <w:sz w:val="44"/>
          <w:szCs w:val="44"/>
          <w:lang w:val="en-US" w:eastAsia="zh-CN"/>
        </w:rPr>
      </w:pPr>
      <w:r>
        <w:rPr>
          <w:rFonts w:hint="eastAsia" w:ascii="宋体" w:hAnsi="宋体" w:eastAsia="方正小标宋简体" w:cs="宋体"/>
          <w:color w:val="auto"/>
          <w:spacing w:val="0"/>
          <w:sz w:val="44"/>
          <w:szCs w:val="44"/>
          <w:lang w:val="en-US" w:eastAsia="zh-CN"/>
        </w:rPr>
        <w:t>创新升级”部分政策操作规程</w:t>
      </w:r>
    </w:p>
    <w:p w14:paraId="34C7B29C">
      <w:pPr>
        <w:keepNext w:val="0"/>
        <w:keepLines w:val="0"/>
        <w:pageBreakBefore w:val="0"/>
        <w:widowControl w:val="0"/>
        <w:kinsoku/>
        <w:wordWrap/>
        <w:overflowPunct w:val="0"/>
        <w:topLinePunct w:val="0"/>
        <w:autoSpaceDE/>
        <w:autoSpaceDN/>
        <w:bidi w:val="0"/>
        <w:adjustRightInd w:val="0"/>
        <w:snapToGrid w:val="0"/>
        <w:spacing w:line="580" w:lineRule="exact"/>
        <w:ind w:left="0" w:leftChars="0"/>
        <w:jc w:val="center"/>
        <w:textAlignment w:val="auto"/>
        <w:rPr>
          <w:rFonts w:hint="eastAsia" w:ascii="宋体" w:hAnsi="宋体" w:eastAsia="方正小标宋简体" w:cs="宋体"/>
          <w:color w:val="auto"/>
          <w:spacing w:val="0"/>
          <w:sz w:val="44"/>
          <w:szCs w:val="44"/>
          <w:lang w:val="en-US" w:eastAsia="zh-CN"/>
        </w:rPr>
      </w:pPr>
      <w:r>
        <w:rPr>
          <w:rFonts w:hint="eastAsia" w:ascii="宋体" w:hAnsi="宋体" w:eastAsia="方正小标宋简体" w:cs="宋体"/>
          <w:color w:val="auto"/>
          <w:spacing w:val="0"/>
          <w:sz w:val="44"/>
          <w:szCs w:val="44"/>
          <w:lang w:val="en-US" w:eastAsia="zh-CN"/>
        </w:rPr>
        <w:t>（征求意见稿）</w:t>
      </w:r>
    </w:p>
    <w:p w14:paraId="075BD313">
      <w:pPr>
        <w:pStyle w:val="4"/>
        <w:keepNext w:val="0"/>
        <w:keepLines w:val="0"/>
        <w:pageBreakBefore w:val="0"/>
        <w:kinsoku/>
        <w:wordWrap/>
        <w:topLinePunct w:val="0"/>
        <w:autoSpaceDE/>
        <w:autoSpaceDN/>
        <w:bidi w:val="0"/>
        <w:spacing w:after="0" w:line="580" w:lineRule="exact"/>
        <w:ind w:left="0" w:leftChars="0"/>
        <w:textAlignment w:val="auto"/>
        <w:rPr>
          <w:rFonts w:hint="eastAsia" w:ascii="宋体" w:hAnsi="宋体" w:cs="宋体"/>
          <w:color w:val="auto"/>
          <w:lang w:val="en-US" w:eastAsia="zh-CN"/>
        </w:rPr>
      </w:pPr>
    </w:p>
    <w:p w14:paraId="3551489E">
      <w:pPr>
        <w:keepNext w:val="0"/>
        <w:keepLines w:val="0"/>
        <w:pageBreakBefore w:val="0"/>
        <w:widowControl/>
        <w:suppressLineNumbers w:val="0"/>
        <w:kinsoku/>
        <w:wordWrap/>
        <w:topLinePunct w:val="0"/>
        <w:autoSpaceDE/>
        <w:autoSpaceDN/>
        <w:bidi w:val="0"/>
        <w:spacing w:line="580" w:lineRule="exact"/>
        <w:ind w:left="0" w:leftChars="0"/>
        <w:jc w:val="center"/>
        <w:textAlignment w:val="auto"/>
        <w:rPr>
          <w:rFonts w:hint="eastAsia" w:ascii="宋体" w:hAnsi="宋体" w:cs="宋体"/>
          <w:color w:val="auto"/>
          <w:sz w:val="32"/>
          <w:szCs w:val="32"/>
          <w:lang w:val="en-US" w:eastAsia="zh-CN"/>
        </w:rPr>
      </w:pPr>
      <w:r>
        <w:rPr>
          <w:rFonts w:ascii="宋体" w:hAnsi="宋体" w:eastAsia="黑体" w:cs="宋体"/>
          <w:color w:val="auto"/>
          <w:kern w:val="0"/>
          <w:sz w:val="32"/>
          <w:szCs w:val="32"/>
          <w:lang w:val="en-US" w:eastAsia="zh-CN" w:bidi="ar"/>
        </w:rPr>
        <w:t>第一章 总则</w:t>
      </w:r>
    </w:p>
    <w:p w14:paraId="707A1331">
      <w:pPr>
        <w:keepNext w:val="0"/>
        <w:keepLines w:val="0"/>
        <w:pageBreakBefore w:val="0"/>
        <w:widowControl/>
        <w:suppressLineNumbers w:val="0"/>
        <w:kinsoku/>
        <w:wordWrap/>
        <w:overflowPunct/>
        <w:topLinePunct w:val="0"/>
        <w:autoSpaceDE/>
        <w:autoSpaceDN/>
        <w:bidi w:val="0"/>
        <w:adjustRightInd/>
        <w:snapToGrid/>
        <w:spacing w:line="580" w:lineRule="exact"/>
        <w:ind w:left="0" w:leftChars="0" w:firstLine="622" w:firstLineChars="200"/>
        <w:jc w:val="both"/>
        <w:textAlignment w:val="auto"/>
        <w:rPr>
          <w:rFonts w:ascii="宋体" w:hAnsi="宋体" w:cs="宋体"/>
          <w:color w:val="auto"/>
        </w:rPr>
      </w:pPr>
      <w:r>
        <w:rPr>
          <w:rFonts w:ascii="宋体" w:hAnsi="宋体" w:eastAsia="仿宋_GB2312" w:cs="宋体"/>
          <w:b/>
          <w:bCs/>
          <w:color w:val="auto"/>
          <w:kern w:val="0"/>
          <w:sz w:val="31"/>
          <w:szCs w:val="31"/>
          <w:lang w:val="en-US" w:eastAsia="zh-CN" w:bidi="ar"/>
        </w:rPr>
        <w:t xml:space="preserve">第一条 </w:t>
      </w:r>
      <w:r>
        <w:rPr>
          <w:rFonts w:hint="eastAsia" w:ascii="宋体" w:hAnsi="宋体" w:eastAsia="仿宋_GB2312" w:cs="宋体"/>
          <w:color w:val="auto"/>
          <w:kern w:val="0"/>
          <w:sz w:val="31"/>
          <w:szCs w:val="31"/>
          <w:lang w:val="en-US" w:eastAsia="zh-CN" w:bidi="ar"/>
        </w:rPr>
        <w:t>为加快建成赣州市域教育科创副中心，优化科技生态，着力打造各类高端创新平台和创新载体，助力突破新技术，培育科技企业，加快成果转移转化，结合龙南市实际，制定本规程。</w:t>
      </w:r>
    </w:p>
    <w:p w14:paraId="3C3ECCFA">
      <w:pPr>
        <w:keepNext w:val="0"/>
        <w:keepLines w:val="0"/>
        <w:pageBreakBefore w:val="0"/>
        <w:widowControl/>
        <w:suppressLineNumbers w:val="0"/>
        <w:kinsoku/>
        <w:wordWrap/>
        <w:overflowPunct/>
        <w:topLinePunct w:val="0"/>
        <w:autoSpaceDE/>
        <w:autoSpaceDN/>
        <w:bidi w:val="0"/>
        <w:adjustRightInd/>
        <w:snapToGrid/>
        <w:spacing w:line="580" w:lineRule="exact"/>
        <w:ind w:left="0" w:leftChars="0" w:firstLine="622" w:firstLineChars="200"/>
        <w:jc w:val="both"/>
        <w:textAlignment w:val="auto"/>
        <w:rPr>
          <w:rFonts w:ascii="宋体" w:hAnsi="宋体" w:cs="宋体"/>
          <w:color w:val="auto"/>
          <w:highlight w:val="none"/>
        </w:rPr>
      </w:pPr>
      <w:r>
        <w:rPr>
          <w:rFonts w:hint="eastAsia" w:ascii="宋体" w:hAnsi="宋体" w:eastAsia="仿宋_GB2312" w:cs="宋体"/>
          <w:b/>
          <w:bCs/>
          <w:color w:val="auto"/>
          <w:kern w:val="0"/>
          <w:sz w:val="31"/>
          <w:szCs w:val="31"/>
          <w:highlight w:val="none"/>
          <w:lang w:val="en-US" w:eastAsia="zh-CN" w:bidi="ar"/>
        </w:rPr>
        <w:t xml:space="preserve">第二条 </w:t>
      </w:r>
      <w:r>
        <w:rPr>
          <w:rFonts w:hint="eastAsia" w:ascii="宋体" w:hAnsi="宋体" w:eastAsia="仿宋_GB2312" w:cs="宋体"/>
          <w:color w:val="auto"/>
          <w:kern w:val="0"/>
          <w:sz w:val="31"/>
          <w:szCs w:val="31"/>
          <w:highlight w:val="none"/>
          <w:lang w:val="en-US" w:eastAsia="zh-CN" w:bidi="ar"/>
        </w:rPr>
        <w:t>本规程资金由市财政预算安排，适用于《龙南支持工业企业发展若干政策（2025年修订版）》（以下简称《若干政策》）第二部分“加快企业创新升级”规定的以市科技局牵头组织的相关项目。</w:t>
      </w:r>
    </w:p>
    <w:p w14:paraId="7DFB86A2">
      <w:pPr>
        <w:keepNext w:val="0"/>
        <w:keepLines w:val="0"/>
        <w:pageBreakBefore w:val="0"/>
        <w:widowControl/>
        <w:suppressLineNumbers w:val="0"/>
        <w:kinsoku/>
        <w:wordWrap/>
        <w:overflowPunct/>
        <w:topLinePunct w:val="0"/>
        <w:autoSpaceDE/>
        <w:autoSpaceDN/>
        <w:bidi w:val="0"/>
        <w:adjustRightInd/>
        <w:snapToGrid/>
        <w:spacing w:line="580" w:lineRule="exact"/>
        <w:ind w:left="0" w:leftChars="0" w:firstLine="622" w:firstLineChars="200"/>
        <w:jc w:val="both"/>
        <w:textAlignment w:val="auto"/>
        <w:rPr>
          <w:rFonts w:hint="eastAsia" w:ascii="宋体" w:hAnsi="宋体" w:eastAsia="仿宋_GB2312" w:cs="宋体"/>
          <w:color w:val="auto"/>
          <w:kern w:val="0"/>
          <w:sz w:val="31"/>
          <w:szCs w:val="31"/>
          <w:highlight w:val="none"/>
          <w:lang w:val="en-US" w:eastAsia="zh-CN" w:bidi="ar"/>
        </w:rPr>
      </w:pPr>
      <w:r>
        <w:rPr>
          <w:rFonts w:hint="eastAsia" w:ascii="宋体" w:hAnsi="宋体" w:eastAsia="仿宋_GB2312" w:cs="宋体"/>
          <w:b/>
          <w:bCs/>
          <w:color w:val="auto"/>
          <w:kern w:val="0"/>
          <w:sz w:val="31"/>
          <w:szCs w:val="31"/>
          <w:highlight w:val="none"/>
          <w:lang w:val="en-US" w:eastAsia="zh-CN" w:bidi="ar"/>
        </w:rPr>
        <w:t xml:space="preserve">第三条 </w:t>
      </w:r>
      <w:r>
        <w:rPr>
          <w:rFonts w:hint="eastAsia" w:ascii="宋体" w:hAnsi="宋体" w:eastAsia="仿宋_GB2312" w:cs="宋体"/>
          <w:color w:val="auto"/>
          <w:kern w:val="0"/>
          <w:sz w:val="31"/>
          <w:szCs w:val="31"/>
          <w:highlight w:val="none"/>
          <w:lang w:val="en-US" w:eastAsia="zh-CN" w:bidi="ar"/>
        </w:rPr>
        <w:t>本规程遵循公开公正、依法依规、突出重点、绩效管理、科学分配的原则。根据不同事项情形采用相应资助方式，以事后资助为主。</w:t>
      </w:r>
    </w:p>
    <w:p w14:paraId="29BA66C2">
      <w:pPr>
        <w:keepNext w:val="0"/>
        <w:keepLines w:val="0"/>
        <w:pageBreakBefore w:val="0"/>
        <w:widowControl/>
        <w:suppressLineNumbers w:val="0"/>
        <w:kinsoku/>
        <w:wordWrap/>
        <w:overflowPunct/>
        <w:topLinePunct w:val="0"/>
        <w:autoSpaceDE/>
        <w:autoSpaceDN/>
        <w:bidi w:val="0"/>
        <w:adjustRightInd/>
        <w:snapToGrid/>
        <w:spacing w:line="580" w:lineRule="exact"/>
        <w:ind w:left="0" w:leftChars="0" w:firstLine="622" w:firstLineChars="200"/>
        <w:jc w:val="both"/>
        <w:textAlignment w:val="auto"/>
        <w:rPr>
          <w:rFonts w:hint="default" w:ascii="宋体" w:hAnsi="宋体" w:eastAsia="仿宋_GB2312" w:cs="宋体"/>
          <w:color w:val="auto"/>
          <w:kern w:val="0"/>
          <w:sz w:val="31"/>
          <w:szCs w:val="31"/>
          <w:highlight w:val="none"/>
          <w:lang w:val="en-US" w:eastAsia="zh-CN" w:bidi="ar"/>
        </w:rPr>
      </w:pPr>
      <w:r>
        <w:rPr>
          <w:rFonts w:hint="eastAsia" w:ascii="宋体" w:hAnsi="宋体" w:eastAsia="仿宋_GB2312" w:cs="宋体"/>
          <w:b/>
          <w:bCs/>
          <w:color w:val="auto"/>
          <w:kern w:val="0"/>
          <w:sz w:val="31"/>
          <w:szCs w:val="31"/>
          <w:highlight w:val="none"/>
          <w:lang w:val="en-US" w:eastAsia="zh-CN" w:bidi="ar"/>
        </w:rPr>
        <w:t>第四条</w:t>
      </w:r>
      <w:r>
        <w:rPr>
          <w:rFonts w:hint="eastAsia" w:ascii="宋体" w:hAnsi="宋体" w:eastAsia="仿宋_GB2312" w:cs="宋体"/>
          <w:color w:val="auto"/>
          <w:kern w:val="0"/>
          <w:sz w:val="31"/>
          <w:szCs w:val="31"/>
          <w:highlight w:val="none"/>
          <w:lang w:val="en-US" w:eastAsia="zh-CN" w:bidi="ar"/>
        </w:rPr>
        <w:t xml:space="preserve"> 奖励资金整合上级资金及市本级财政资金，按照“就高、从优、不重复、不追溯”原则执行。资金兑现工作按照《龙南市惠企政策兑现“线上一网 线下一窗”改革工作方案》（龙府办字〔2022〕21号）、《龙南惠企政策兑现工作提升方案》（龙惠企领字〔2023〕1号）文件规定开展。</w:t>
      </w:r>
    </w:p>
    <w:p w14:paraId="03D1314D">
      <w:pPr>
        <w:pStyle w:val="4"/>
        <w:keepNext w:val="0"/>
        <w:keepLines w:val="0"/>
        <w:pageBreakBefore w:val="0"/>
        <w:kinsoku/>
        <w:wordWrap/>
        <w:topLinePunct w:val="0"/>
        <w:autoSpaceDE/>
        <w:autoSpaceDN/>
        <w:bidi w:val="0"/>
        <w:spacing w:after="0" w:line="580" w:lineRule="exact"/>
        <w:ind w:left="0" w:leftChars="0"/>
        <w:jc w:val="both"/>
        <w:textAlignment w:val="auto"/>
        <w:rPr>
          <w:rFonts w:hint="eastAsia" w:ascii="宋体" w:hAnsi="宋体" w:eastAsia="仿宋_GB2312" w:cs="宋体"/>
          <w:color w:val="auto"/>
          <w:sz w:val="32"/>
          <w:szCs w:val="32"/>
          <w:lang w:val="en-US" w:eastAsia="zh-CN"/>
        </w:rPr>
      </w:pPr>
    </w:p>
    <w:p w14:paraId="4F598637">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auto"/>
        <w:rPr>
          <w:rFonts w:ascii="宋体" w:hAnsi="宋体" w:cs="宋体"/>
          <w:color w:val="auto"/>
        </w:rPr>
      </w:pPr>
      <w:r>
        <w:rPr>
          <w:rFonts w:ascii="宋体" w:hAnsi="宋体" w:eastAsia="黑体" w:cs="宋体"/>
          <w:color w:val="auto"/>
          <w:kern w:val="0"/>
          <w:sz w:val="31"/>
          <w:szCs w:val="31"/>
          <w:lang w:val="en-US" w:eastAsia="zh-CN" w:bidi="ar"/>
        </w:rPr>
        <w:t>第二章 支持对象、标准、方式和项目申报条件</w:t>
      </w:r>
    </w:p>
    <w:p w14:paraId="64BD79C8">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22" w:firstLineChars="200"/>
        <w:jc w:val="both"/>
        <w:textAlignment w:val="auto"/>
        <w:rPr>
          <w:rFonts w:ascii="宋体" w:hAnsi="宋体" w:cs="宋体"/>
          <w:color w:val="auto"/>
        </w:rPr>
      </w:pPr>
      <w:r>
        <w:rPr>
          <w:rFonts w:ascii="宋体" w:hAnsi="宋体" w:eastAsia="仿宋_GB2312" w:cs="宋体"/>
          <w:b/>
          <w:bCs/>
          <w:color w:val="auto"/>
          <w:kern w:val="0"/>
          <w:sz w:val="31"/>
          <w:szCs w:val="31"/>
          <w:lang w:val="en-US" w:eastAsia="zh-CN" w:bidi="ar"/>
        </w:rPr>
        <w:t>第</w:t>
      </w:r>
      <w:r>
        <w:rPr>
          <w:rFonts w:hint="eastAsia" w:ascii="宋体" w:hAnsi="宋体" w:eastAsia="仿宋_GB2312" w:cs="宋体"/>
          <w:b/>
          <w:bCs/>
          <w:color w:val="auto"/>
          <w:kern w:val="0"/>
          <w:sz w:val="31"/>
          <w:szCs w:val="31"/>
          <w:lang w:val="en-US" w:eastAsia="zh-CN" w:bidi="ar"/>
        </w:rPr>
        <w:t>五</w:t>
      </w:r>
      <w:r>
        <w:rPr>
          <w:rFonts w:ascii="宋体" w:hAnsi="宋体" w:eastAsia="仿宋_GB2312" w:cs="宋体"/>
          <w:b/>
          <w:bCs/>
          <w:color w:val="auto"/>
          <w:kern w:val="0"/>
          <w:sz w:val="31"/>
          <w:szCs w:val="31"/>
          <w:lang w:val="en-US" w:eastAsia="zh-CN" w:bidi="ar"/>
        </w:rPr>
        <w:t xml:space="preserve">条 </w:t>
      </w:r>
      <w:r>
        <w:rPr>
          <w:rFonts w:hint="eastAsia" w:ascii="宋体" w:hAnsi="宋体" w:eastAsia="仿宋_GB2312" w:cs="宋体"/>
          <w:color w:val="auto"/>
          <w:kern w:val="0"/>
          <w:sz w:val="31"/>
          <w:szCs w:val="31"/>
          <w:lang w:val="en-US" w:eastAsia="zh-CN" w:bidi="ar"/>
        </w:rPr>
        <w:t>支持对象为在龙南市从事科技创新活动的高校、科研院所、企业以及其他事业单位、社会团体、民办非企业等单位（以下简称“申</w:t>
      </w:r>
      <w:r>
        <w:rPr>
          <w:rFonts w:ascii="宋体" w:hAnsi="宋体" w:eastAsia="仿宋_GB2312" w:cs="宋体"/>
          <w:color w:val="auto"/>
          <w:kern w:val="0"/>
          <w:sz w:val="31"/>
          <w:szCs w:val="31"/>
          <w:lang w:val="en-US" w:eastAsia="zh-CN" w:bidi="ar"/>
        </w:rPr>
        <w:t>报单位”）</w:t>
      </w:r>
      <w:r>
        <w:rPr>
          <w:rFonts w:hint="eastAsia" w:ascii="宋体" w:hAnsi="宋体" w:eastAsia="仿宋_GB2312" w:cs="宋体"/>
          <w:color w:val="auto"/>
          <w:kern w:val="0"/>
          <w:sz w:val="31"/>
          <w:szCs w:val="31"/>
          <w:lang w:val="en-US" w:eastAsia="zh-CN" w:bidi="ar"/>
        </w:rPr>
        <w:t>。</w:t>
      </w:r>
    </w:p>
    <w:p w14:paraId="685DE99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22" w:firstLineChars="200"/>
        <w:jc w:val="both"/>
        <w:textAlignment w:val="auto"/>
        <w:rPr>
          <w:rFonts w:ascii="宋体" w:hAnsi="宋体" w:cs="宋体"/>
          <w:color w:val="auto"/>
        </w:rPr>
      </w:pPr>
      <w:r>
        <w:rPr>
          <w:rFonts w:hint="eastAsia" w:ascii="宋体" w:hAnsi="宋体" w:eastAsia="仿宋_GB2312" w:cs="宋体"/>
          <w:b/>
          <w:bCs/>
          <w:color w:val="auto"/>
          <w:kern w:val="0"/>
          <w:sz w:val="31"/>
          <w:szCs w:val="31"/>
          <w:lang w:val="en-US" w:eastAsia="zh-CN" w:bidi="ar"/>
        </w:rPr>
        <w:t xml:space="preserve">第六条 </w:t>
      </w:r>
      <w:r>
        <w:rPr>
          <w:rFonts w:hint="eastAsia" w:ascii="宋体" w:hAnsi="宋体" w:eastAsia="仿宋_GB2312" w:cs="宋体"/>
          <w:color w:val="auto"/>
          <w:kern w:val="0"/>
          <w:sz w:val="31"/>
          <w:szCs w:val="31"/>
          <w:lang w:val="en-US" w:eastAsia="zh-CN" w:bidi="ar"/>
        </w:rPr>
        <w:t>申报单位及申报人须满足</w:t>
      </w:r>
      <w:r>
        <w:rPr>
          <w:rFonts w:hint="eastAsia" w:ascii="宋体" w:hAnsi="宋体" w:eastAsia="仿宋_GB2312" w:cs="宋体"/>
          <w:color w:val="auto"/>
          <w:kern w:val="0"/>
          <w:sz w:val="31"/>
          <w:szCs w:val="31"/>
          <w:highlight w:val="none"/>
          <w:lang w:val="en-US" w:eastAsia="zh-CN" w:bidi="ar"/>
        </w:rPr>
        <w:t>《若干政策》</w:t>
      </w:r>
      <w:r>
        <w:rPr>
          <w:rFonts w:hint="eastAsia" w:ascii="宋体" w:hAnsi="宋体" w:eastAsia="仿宋_GB2312" w:cs="宋体"/>
          <w:color w:val="auto"/>
          <w:kern w:val="0"/>
          <w:sz w:val="31"/>
          <w:szCs w:val="31"/>
          <w:lang w:val="en-US" w:eastAsia="zh-CN" w:bidi="ar"/>
        </w:rPr>
        <w:t>有关要求，符合有关产业政策文件及申报指南规定的其他条件。申报的项目应符合国家、省、市产业政策和经济社会发展要求。</w:t>
      </w:r>
    </w:p>
    <w:p w14:paraId="76DF78B3">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22" w:firstLineChars="200"/>
        <w:jc w:val="both"/>
        <w:textAlignment w:val="auto"/>
        <w:rPr>
          <w:rFonts w:hint="eastAsia" w:ascii="宋体" w:hAnsi="宋体" w:eastAsia="仿宋_GB2312" w:cs="宋体"/>
          <w:color w:val="auto"/>
          <w:sz w:val="32"/>
          <w:szCs w:val="32"/>
        </w:rPr>
      </w:pPr>
      <w:r>
        <w:rPr>
          <w:rFonts w:hint="eastAsia" w:ascii="宋体" w:hAnsi="宋体" w:eastAsia="仿宋_GB2312" w:cs="宋体"/>
          <w:b/>
          <w:bCs/>
          <w:color w:val="auto"/>
          <w:kern w:val="0"/>
          <w:sz w:val="31"/>
          <w:szCs w:val="31"/>
          <w:lang w:val="en-US" w:eastAsia="zh-CN" w:bidi="ar"/>
        </w:rPr>
        <w:t xml:space="preserve">第七条 </w:t>
      </w:r>
      <w:r>
        <w:rPr>
          <w:rFonts w:hint="eastAsia" w:ascii="宋体" w:hAnsi="宋体" w:eastAsia="仿宋_GB2312" w:cs="宋体"/>
          <w:color w:val="auto"/>
          <w:kern w:val="0"/>
          <w:sz w:val="31"/>
          <w:szCs w:val="31"/>
          <w:lang w:val="en-US" w:eastAsia="zh-CN" w:bidi="ar"/>
        </w:rPr>
        <w:t>各申报项目的支持标准、方式和具体条件：</w:t>
      </w:r>
    </w:p>
    <w:p w14:paraId="1708DE7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仿宋_GB2312" w:cs="宋体"/>
          <w:b/>
          <w:bCs/>
          <w:color w:val="auto"/>
          <w:spacing w:val="0"/>
          <w:kern w:val="2"/>
          <w:sz w:val="32"/>
          <w:szCs w:val="32"/>
          <w:lang w:val="en-US" w:eastAsia="zh-CN" w:bidi="ar-SA"/>
        </w:rPr>
      </w:pPr>
      <w:r>
        <w:rPr>
          <w:rFonts w:hint="eastAsia" w:ascii="宋体" w:hAnsi="宋体" w:eastAsia="仿宋_GB2312" w:cs="宋体"/>
          <w:b/>
          <w:bCs/>
          <w:color w:val="auto"/>
          <w:spacing w:val="0"/>
          <w:kern w:val="2"/>
          <w:sz w:val="32"/>
          <w:szCs w:val="32"/>
          <w:lang w:val="en-US" w:eastAsia="zh-CN" w:bidi="ar-SA"/>
        </w:rPr>
        <w:t>（一）创新平台资助项目</w:t>
      </w:r>
      <w:r>
        <w:rPr>
          <w:rFonts w:hint="eastAsia" w:ascii="宋体" w:hAnsi="宋体" w:eastAsia="仿宋_GB2312" w:cs="宋体"/>
          <w:b w:val="0"/>
          <w:bCs w:val="0"/>
          <w:color w:val="auto"/>
          <w:spacing w:val="0"/>
          <w:kern w:val="2"/>
          <w:sz w:val="32"/>
          <w:szCs w:val="32"/>
          <w:lang w:val="en-US" w:eastAsia="zh-CN" w:bidi="ar-SA"/>
        </w:rPr>
        <w:t>（</w:t>
      </w:r>
      <w:r>
        <w:rPr>
          <w:rFonts w:hint="eastAsia" w:ascii="宋体" w:hAnsi="宋体" w:eastAsia="仿宋_GB2312" w:cs="宋体"/>
          <w:color w:val="auto"/>
          <w:kern w:val="0"/>
          <w:sz w:val="31"/>
          <w:szCs w:val="31"/>
          <w:highlight w:val="none"/>
          <w:lang w:val="en-US" w:eastAsia="zh-CN" w:bidi="ar"/>
        </w:rPr>
        <w:t>《若干政策》</w:t>
      </w:r>
      <w:r>
        <w:rPr>
          <w:rFonts w:hint="eastAsia" w:ascii="宋体" w:hAnsi="宋体" w:eastAsia="仿宋_GB2312" w:cs="宋体"/>
          <w:b w:val="0"/>
          <w:bCs w:val="0"/>
          <w:color w:val="auto"/>
          <w:spacing w:val="0"/>
          <w:kern w:val="2"/>
          <w:sz w:val="32"/>
          <w:szCs w:val="32"/>
          <w:lang w:val="en-US" w:eastAsia="zh-CN" w:bidi="ar-SA"/>
        </w:rPr>
        <w:t>第七条）</w:t>
      </w:r>
    </w:p>
    <w:p w14:paraId="0AE15B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仿宋_GB2312" w:cs="宋体"/>
          <w:b w:val="0"/>
          <w:bCs w:val="0"/>
          <w:color w:val="auto"/>
          <w:spacing w:val="0"/>
          <w:kern w:val="2"/>
          <w:sz w:val="32"/>
          <w:szCs w:val="32"/>
          <w:lang w:val="en-US" w:eastAsia="zh-CN" w:bidi="ar-SA"/>
        </w:rPr>
      </w:pPr>
      <w:r>
        <w:rPr>
          <w:rFonts w:hint="eastAsia" w:ascii="宋体" w:hAnsi="宋体" w:eastAsia="仿宋_GB2312" w:cs="宋体"/>
          <w:b/>
          <w:bCs/>
          <w:color w:val="auto"/>
          <w:spacing w:val="0"/>
          <w:kern w:val="2"/>
          <w:sz w:val="32"/>
          <w:szCs w:val="32"/>
          <w:lang w:val="en-US" w:eastAsia="zh-CN" w:bidi="ar-SA"/>
        </w:rPr>
        <w:t>1.支持对象：</w:t>
      </w:r>
      <w:r>
        <w:rPr>
          <w:rFonts w:hint="eastAsia" w:ascii="宋体" w:hAnsi="宋体" w:eastAsia="仿宋_GB2312" w:cs="宋体"/>
          <w:b w:val="0"/>
          <w:bCs w:val="0"/>
          <w:color w:val="auto"/>
          <w:spacing w:val="0"/>
          <w:kern w:val="2"/>
          <w:sz w:val="32"/>
          <w:szCs w:val="32"/>
          <w:lang w:val="en-US" w:eastAsia="zh-CN" w:bidi="ar-SA"/>
        </w:rPr>
        <w:t>创新平台的牵头依托单位。</w:t>
      </w:r>
    </w:p>
    <w:p w14:paraId="44BE326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宋体" w:hAnsi="宋体" w:eastAsia="仿宋_GB2312" w:cs="宋体"/>
          <w:b w:val="0"/>
          <w:bCs w:val="0"/>
          <w:color w:val="auto"/>
          <w:spacing w:val="0"/>
          <w:kern w:val="2"/>
          <w:sz w:val="32"/>
          <w:szCs w:val="32"/>
          <w:lang w:val="en-US" w:eastAsia="zh-CN" w:bidi="ar-SA"/>
        </w:rPr>
      </w:pPr>
      <w:r>
        <w:rPr>
          <w:rFonts w:hint="eastAsia" w:ascii="宋体" w:hAnsi="宋体" w:eastAsia="仿宋_GB2312" w:cs="宋体"/>
          <w:b/>
          <w:bCs/>
          <w:color w:val="auto"/>
          <w:spacing w:val="0"/>
          <w:kern w:val="2"/>
          <w:sz w:val="32"/>
          <w:szCs w:val="32"/>
          <w:lang w:val="en-US" w:eastAsia="zh-CN" w:bidi="ar-SA"/>
        </w:rPr>
        <w:t>2.支持方式：</w:t>
      </w:r>
      <w:r>
        <w:rPr>
          <w:rFonts w:hint="eastAsia" w:ascii="宋体" w:hAnsi="宋体" w:eastAsia="仿宋_GB2312" w:cs="宋体"/>
          <w:b w:val="0"/>
          <w:bCs w:val="0"/>
          <w:color w:val="auto"/>
          <w:spacing w:val="0"/>
          <w:kern w:val="2"/>
          <w:sz w:val="32"/>
          <w:szCs w:val="32"/>
          <w:lang w:val="en-US" w:eastAsia="zh-CN" w:bidi="ar-SA"/>
        </w:rPr>
        <w:t>事后补助。属核准类项目。</w:t>
      </w:r>
    </w:p>
    <w:p w14:paraId="40D28F0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宋体" w:hAnsi="宋体" w:eastAsia="仿宋_GB2312" w:cs="宋体"/>
          <w:color w:val="auto"/>
          <w:sz w:val="32"/>
          <w:szCs w:val="32"/>
          <w:lang w:val="en-US" w:eastAsia="zh-CN"/>
        </w:rPr>
      </w:pPr>
      <w:r>
        <w:rPr>
          <w:rFonts w:hint="eastAsia" w:ascii="宋体" w:hAnsi="宋体" w:eastAsia="仿宋_GB2312" w:cs="宋体"/>
          <w:b/>
          <w:bCs/>
          <w:color w:val="auto"/>
          <w:spacing w:val="0"/>
          <w:kern w:val="2"/>
          <w:sz w:val="32"/>
          <w:szCs w:val="32"/>
          <w:lang w:val="en-US" w:eastAsia="zh-CN" w:bidi="ar-SA"/>
        </w:rPr>
        <w:t>3.</w:t>
      </w:r>
      <w:r>
        <w:rPr>
          <w:rFonts w:hint="eastAsia" w:ascii="宋体" w:hAnsi="宋体" w:eastAsia="仿宋_GB2312" w:cs="宋体"/>
          <w:b/>
          <w:bCs/>
          <w:color w:val="auto"/>
          <w:sz w:val="32"/>
          <w:szCs w:val="32"/>
          <w:lang w:val="en-US" w:eastAsia="zh-CN"/>
        </w:rPr>
        <w:t>支持标准：</w:t>
      </w:r>
      <w:r>
        <w:rPr>
          <w:rFonts w:hint="eastAsia" w:ascii="宋体" w:hAnsi="宋体" w:eastAsia="仿宋_GB2312" w:cs="宋体"/>
          <w:color w:val="auto"/>
          <w:sz w:val="32"/>
          <w:szCs w:val="32"/>
        </w:rPr>
        <w:t>提升创新平台能级。（1）对新获批的全国重点实验室、国家实验室赣州基地、国家技术创新中心，给予一次性扶持经费500万元。对新组建的省级实验室、重点实验室、技术创新中心、新型研发机构、临床医学研究中心，由市财政给予三年组建期扶持经费每年50万元（其中第三年扶持经费在通过验收后拨付）。对新组建的赣州市级实验室、重点实验室、技术创新中心、新型研发机构，给予一次性扶持经费5万元；通过赣州市科技局考核评估后再拨付15万元补助资金。对获批国家级、省级科技企业孵化器、众创空间等载体的，由市财政分别给予一次性扶持资金100万元、50万元。</w:t>
      </w:r>
    </w:p>
    <w:p w14:paraId="17E020B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宋体" w:hAnsi="宋体" w:eastAsia="仿宋_GB2312" w:cs="宋体"/>
          <w:b/>
          <w:bCs/>
          <w:color w:val="auto"/>
          <w:spacing w:val="0"/>
          <w:kern w:val="2"/>
          <w:sz w:val="32"/>
          <w:szCs w:val="32"/>
          <w:lang w:val="en-US" w:eastAsia="zh-CN" w:bidi="ar-SA"/>
        </w:rPr>
      </w:pPr>
      <w:r>
        <w:rPr>
          <w:rFonts w:hint="eastAsia" w:ascii="宋体" w:hAnsi="宋体" w:eastAsia="仿宋_GB2312" w:cs="宋体"/>
          <w:b/>
          <w:bCs/>
          <w:color w:val="auto"/>
          <w:spacing w:val="0"/>
          <w:kern w:val="2"/>
          <w:sz w:val="32"/>
          <w:szCs w:val="32"/>
          <w:lang w:val="en-US" w:eastAsia="zh-CN" w:bidi="ar-SA"/>
        </w:rPr>
        <w:t>4.申报条件：</w:t>
      </w:r>
    </w:p>
    <w:p w14:paraId="32B6BF3E">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20" w:firstLineChars="200"/>
        <w:jc w:val="both"/>
        <w:textAlignment w:val="auto"/>
        <w:rPr>
          <w:rFonts w:hint="default" w:ascii="宋体" w:hAnsi="宋体" w:eastAsia="仿宋_GB2312" w:cs="宋体"/>
          <w:color w:val="auto"/>
          <w:kern w:val="0"/>
          <w:sz w:val="31"/>
          <w:szCs w:val="31"/>
          <w:highlight w:val="none"/>
          <w:lang w:val="en-US" w:eastAsia="zh-CN" w:bidi="ar"/>
        </w:rPr>
      </w:pPr>
      <w:r>
        <w:rPr>
          <w:rFonts w:hint="eastAsia" w:ascii="宋体" w:hAnsi="宋体" w:eastAsia="仿宋_GB2312" w:cs="宋体"/>
          <w:color w:val="auto"/>
          <w:kern w:val="0"/>
          <w:sz w:val="31"/>
          <w:szCs w:val="31"/>
          <w:highlight w:val="none"/>
          <w:lang w:val="en-US" w:eastAsia="zh-CN" w:bidi="ar"/>
        </w:rPr>
        <w:t>（1）涉及新组建扶持经费的，创新平台组建时间在2025年7月1日以后，时间以批复文件落款时间为准。</w:t>
      </w:r>
    </w:p>
    <w:p w14:paraId="0A09A9FD">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20" w:firstLineChars="200"/>
        <w:jc w:val="both"/>
        <w:textAlignment w:val="auto"/>
        <w:rPr>
          <w:rFonts w:hint="eastAsia" w:ascii="宋体" w:hAnsi="宋体" w:eastAsia="仿宋_GB2312" w:cs="宋体"/>
          <w:color w:val="auto"/>
          <w:kern w:val="0"/>
          <w:sz w:val="31"/>
          <w:szCs w:val="31"/>
          <w:highlight w:val="none"/>
          <w:lang w:val="en-US" w:eastAsia="zh-CN" w:bidi="ar"/>
        </w:rPr>
      </w:pPr>
      <w:r>
        <w:rPr>
          <w:rFonts w:hint="eastAsia" w:ascii="宋体" w:hAnsi="宋体" w:eastAsia="仿宋_GB2312" w:cs="宋体"/>
          <w:color w:val="auto"/>
          <w:kern w:val="0"/>
          <w:sz w:val="31"/>
          <w:szCs w:val="31"/>
          <w:highlight w:val="none"/>
          <w:lang w:val="en-US" w:eastAsia="zh-CN" w:bidi="ar"/>
        </w:rPr>
        <w:t>（2）涉及考核评估/验收后补助资金的，创新平台组建时间及考核评估/验收时间均在2025年7月1日以后，时间以批复文件落款时间为准，且申报主体须为首次参加考核/验收的单位。</w:t>
      </w:r>
    </w:p>
    <w:p w14:paraId="527DAD0B">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20" w:firstLineChars="200"/>
        <w:jc w:val="both"/>
        <w:textAlignment w:val="auto"/>
        <w:rPr>
          <w:rFonts w:hint="eastAsia" w:ascii="宋体" w:hAnsi="宋体" w:eastAsia="仿宋_GB2312" w:cs="宋体"/>
          <w:color w:val="auto"/>
          <w:kern w:val="0"/>
          <w:sz w:val="31"/>
          <w:szCs w:val="31"/>
          <w:highlight w:val="none"/>
          <w:lang w:val="en-US" w:eastAsia="zh-CN" w:bidi="ar"/>
        </w:rPr>
      </w:pPr>
      <w:r>
        <w:rPr>
          <w:rFonts w:hint="eastAsia" w:ascii="宋体" w:hAnsi="宋体" w:eastAsia="仿宋_GB2312" w:cs="宋体"/>
          <w:color w:val="auto"/>
          <w:kern w:val="0"/>
          <w:sz w:val="31"/>
          <w:szCs w:val="31"/>
          <w:highlight w:val="none"/>
          <w:lang w:val="en-US" w:eastAsia="zh-CN" w:bidi="ar"/>
        </w:rPr>
        <w:t>（3）创</w:t>
      </w:r>
      <w:r>
        <w:rPr>
          <w:rFonts w:hint="eastAsia" w:ascii="宋体" w:hAnsi="宋体" w:eastAsia="仿宋_GB2312" w:cs="宋体"/>
          <w:color w:val="auto"/>
          <w:spacing w:val="-6"/>
          <w:kern w:val="0"/>
          <w:sz w:val="31"/>
          <w:szCs w:val="31"/>
          <w:highlight w:val="none"/>
          <w:lang w:val="en-US" w:eastAsia="zh-CN" w:bidi="ar"/>
        </w:rPr>
        <w:t>新平台在龙南市建设、运营正常，相关软硬件设施齐全。</w:t>
      </w:r>
    </w:p>
    <w:p w14:paraId="1E5F4AC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宋体" w:hAnsi="宋体" w:cs="宋体"/>
          <w:color w:val="auto"/>
          <w:lang w:val="en-US" w:eastAsia="zh-CN"/>
        </w:rPr>
      </w:pPr>
      <w:r>
        <w:rPr>
          <w:rFonts w:hint="eastAsia" w:ascii="宋体" w:hAnsi="宋体" w:eastAsia="仿宋_GB2312" w:cs="宋体"/>
          <w:b/>
          <w:bCs/>
          <w:color w:val="auto"/>
          <w:spacing w:val="0"/>
          <w:kern w:val="2"/>
          <w:sz w:val="32"/>
          <w:szCs w:val="32"/>
          <w:highlight w:val="none"/>
          <w:lang w:val="en-US" w:eastAsia="zh-CN" w:bidi="ar-SA"/>
        </w:rPr>
        <w:t>5.业务咨询：</w:t>
      </w:r>
      <w:r>
        <w:rPr>
          <w:rFonts w:hint="eastAsia" w:ascii="宋体" w:hAnsi="宋体" w:eastAsia="仿宋_GB2312" w:cs="宋体"/>
          <w:color w:val="auto"/>
          <w:kern w:val="0"/>
          <w:sz w:val="31"/>
          <w:szCs w:val="31"/>
          <w:highlight w:val="none"/>
          <w:lang w:val="en-US" w:eastAsia="zh-CN" w:bidi="ar"/>
        </w:rPr>
        <w:t>前沿平台股钟鹏程18779092061。</w:t>
      </w:r>
    </w:p>
    <w:p w14:paraId="6637D2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仿宋_GB2312" w:cs="宋体"/>
          <w:b/>
          <w:bCs/>
          <w:color w:val="auto"/>
          <w:spacing w:val="0"/>
          <w:kern w:val="2"/>
          <w:sz w:val="32"/>
          <w:szCs w:val="32"/>
          <w:lang w:val="en-US" w:eastAsia="zh-CN" w:bidi="ar-SA"/>
        </w:rPr>
      </w:pPr>
      <w:r>
        <w:rPr>
          <w:rFonts w:hint="eastAsia" w:ascii="宋体" w:hAnsi="宋体" w:eastAsia="仿宋_GB2312" w:cs="宋体"/>
          <w:b/>
          <w:bCs/>
          <w:color w:val="auto"/>
          <w:spacing w:val="0"/>
          <w:sz w:val="32"/>
          <w:szCs w:val="32"/>
          <w:lang w:val="en-US" w:eastAsia="zh-CN"/>
        </w:rPr>
        <w:t>（二）共建高端研发机构支持项目</w:t>
      </w:r>
      <w:r>
        <w:rPr>
          <w:rFonts w:hint="eastAsia" w:ascii="宋体" w:hAnsi="宋体" w:eastAsia="仿宋_GB2312" w:cs="宋体"/>
          <w:b w:val="0"/>
          <w:bCs w:val="0"/>
          <w:color w:val="auto"/>
          <w:spacing w:val="0"/>
          <w:kern w:val="2"/>
          <w:sz w:val="32"/>
          <w:szCs w:val="32"/>
          <w:lang w:val="en-US" w:eastAsia="zh-CN" w:bidi="ar-SA"/>
        </w:rPr>
        <w:t>（</w:t>
      </w:r>
      <w:r>
        <w:rPr>
          <w:rFonts w:hint="eastAsia" w:ascii="宋体" w:hAnsi="宋体" w:eastAsia="仿宋_GB2312" w:cs="宋体"/>
          <w:color w:val="auto"/>
          <w:kern w:val="0"/>
          <w:sz w:val="31"/>
          <w:szCs w:val="31"/>
          <w:highlight w:val="none"/>
          <w:lang w:val="en-US" w:eastAsia="zh-CN" w:bidi="ar"/>
        </w:rPr>
        <w:t>《若干政策》</w:t>
      </w:r>
      <w:r>
        <w:rPr>
          <w:rFonts w:hint="eastAsia" w:ascii="宋体" w:hAnsi="宋体" w:eastAsia="仿宋_GB2312" w:cs="宋体"/>
          <w:b w:val="0"/>
          <w:bCs w:val="0"/>
          <w:color w:val="auto"/>
          <w:spacing w:val="0"/>
          <w:kern w:val="2"/>
          <w:sz w:val="32"/>
          <w:szCs w:val="32"/>
          <w:lang w:val="en-US" w:eastAsia="zh-CN" w:bidi="ar-SA"/>
        </w:rPr>
        <w:t>第八条）</w:t>
      </w:r>
    </w:p>
    <w:p w14:paraId="087BDA7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仿宋_GB2312" w:cs="宋体"/>
          <w:color w:val="auto"/>
          <w:sz w:val="32"/>
          <w:szCs w:val="32"/>
          <w:lang w:val="en-US" w:eastAsia="zh-CN"/>
        </w:rPr>
      </w:pPr>
      <w:r>
        <w:rPr>
          <w:rFonts w:hint="eastAsia" w:ascii="宋体" w:hAnsi="宋体" w:eastAsia="仿宋_GB2312" w:cs="宋体"/>
          <w:b/>
          <w:bCs/>
          <w:color w:val="auto"/>
          <w:sz w:val="32"/>
          <w:szCs w:val="32"/>
          <w:lang w:val="en-US" w:eastAsia="zh-CN"/>
        </w:rPr>
        <w:t>1.支持对象：</w:t>
      </w:r>
      <w:r>
        <w:rPr>
          <w:rFonts w:hint="eastAsia" w:ascii="宋体" w:hAnsi="宋体" w:eastAsia="仿宋_GB2312" w:cs="宋体"/>
          <w:b w:val="0"/>
          <w:bCs w:val="0"/>
          <w:color w:val="auto"/>
          <w:spacing w:val="0"/>
          <w:sz w:val="32"/>
          <w:szCs w:val="32"/>
          <w:highlight w:val="none"/>
          <w:u w:val="none"/>
          <w:shd w:val="clear" w:color="auto" w:fill="auto"/>
          <w:lang w:val="en-US" w:eastAsia="zh-CN"/>
        </w:rPr>
        <w:t>高端研发机构</w:t>
      </w:r>
      <w:r>
        <w:rPr>
          <w:rFonts w:hint="eastAsia" w:ascii="宋体" w:hAnsi="宋体" w:eastAsia="仿宋_GB2312" w:cs="宋体"/>
          <w:color w:val="auto"/>
          <w:sz w:val="32"/>
          <w:szCs w:val="32"/>
          <w:lang w:val="en-US" w:eastAsia="zh-CN"/>
        </w:rPr>
        <w:t>。</w:t>
      </w:r>
    </w:p>
    <w:p w14:paraId="57DE3DE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仿宋_GB2312" w:cs="宋体"/>
          <w:color w:val="auto"/>
          <w:sz w:val="32"/>
          <w:szCs w:val="32"/>
          <w:lang w:val="en-US" w:eastAsia="zh-CN"/>
        </w:rPr>
      </w:pPr>
      <w:r>
        <w:rPr>
          <w:rFonts w:hint="eastAsia" w:ascii="宋体" w:hAnsi="宋体" w:eastAsia="仿宋_GB2312" w:cs="宋体"/>
          <w:b/>
          <w:bCs/>
          <w:color w:val="auto"/>
          <w:sz w:val="32"/>
          <w:szCs w:val="32"/>
          <w:lang w:val="en-US" w:eastAsia="zh-CN"/>
        </w:rPr>
        <w:t>2.支持方式：</w:t>
      </w:r>
      <w:r>
        <w:rPr>
          <w:rFonts w:hint="eastAsia" w:ascii="宋体" w:hAnsi="宋体" w:eastAsia="仿宋_GB2312" w:cs="宋体"/>
          <w:color w:val="auto"/>
          <w:sz w:val="32"/>
          <w:szCs w:val="32"/>
          <w:lang w:val="en-US" w:eastAsia="zh-CN"/>
        </w:rPr>
        <w:t>事后资助。属核准类项目。</w:t>
      </w:r>
    </w:p>
    <w:p w14:paraId="263349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仿宋_GB2312" w:cs="宋体"/>
          <w:b/>
          <w:bCs/>
          <w:color w:val="auto"/>
          <w:sz w:val="32"/>
          <w:szCs w:val="32"/>
          <w:lang w:val="en-US" w:eastAsia="zh-CN"/>
        </w:rPr>
      </w:pPr>
      <w:r>
        <w:rPr>
          <w:rFonts w:hint="eastAsia" w:ascii="宋体" w:hAnsi="宋体" w:eastAsia="仿宋_GB2312" w:cs="宋体"/>
          <w:b/>
          <w:bCs/>
          <w:color w:val="auto"/>
          <w:sz w:val="32"/>
          <w:szCs w:val="32"/>
          <w:lang w:val="en-US" w:eastAsia="zh-CN"/>
        </w:rPr>
        <w:t>3.支持标准：</w:t>
      </w:r>
      <w:r>
        <w:rPr>
          <w:rFonts w:hint="eastAsia" w:ascii="宋体" w:hAnsi="宋体" w:eastAsia="仿宋_GB2312" w:cs="宋体"/>
          <w:color w:val="auto"/>
          <w:sz w:val="32"/>
          <w:szCs w:val="32"/>
        </w:rPr>
        <w:t>引育高端机构。鼓励引进高等学校、科研机构、科学家及科研团队等共建高端研发机构。对经赣州市科技局按程序批准同意，成功签订合作协议并挂牌运行的高端研发机构，由市财政给予一次性50万元-200万元的开办经费。</w:t>
      </w:r>
    </w:p>
    <w:p w14:paraId="6002C8A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仿宋_GB2312" w:cs="宋体"/>
          <w:b/>
          <w:bCs/>
          <w:color w:val="auto"/>
          <w:sz w:val="32"/>
          <w:szCs w:val="32"/>
          <w:lang w:val="en-US" w:eastAsia="zh-CN"/>
        </w:rPr>
      </w:pPr>
      <w:r>
        <w:rPr>
          <w:rFonts w:hint="eastAsia" w:ascii="宋体" w:hAnsi="宋体" w:eastAsia="仿宋_GB2312" w:cs="宋体"/>
          <w:b/>
          <w:bCs/>
          <w:color w:val="auto"/>
          <w:sz w:val="32"/>
          <w:szCs w:val="32"/>
          <w:lang w:val="en-US" w:eastAsia="zh-CN"/>
        </w:rPr>
        <w:t>4.申报条件：</w:t>
      </w:r>
    </w:p>
    <w:p w14:paraId="05CEC8B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宋体" w:hAnsi="宋体" w:eastAsia="仿宋_GB2312" w:cs="宋体"/>
          <w:b w:val="0"/>
          <w:bCs w:val="0"/>
          <w:color w:val="auto"/>
          <w:sz w:val="32"/>
          <w:szCs w:val="32"/>
          <w:highlight w:val="none"/>
          <w:lang w:val="en-US" w:eastAsia="zh-CN"/>
        </w:rPr>
      </w:pPr>
      <w:r>
        <w:rPr>
          <w:rFonts w:hint="eastAsia" w:ascii="宋体" w:hAnsi="宋体" w:eastAsia="仿宋_GB2312" w:cs="宋体"/>
          <w:b w:val="0"/>
          <w:bCs w:val="0"/>
          <w:color w:val="auto"/>
          <w:sz w:val="32"/>
          <w:szCs w:val="32"/>
          <w:highlight w:val="none"/>
          <w:lang w:val="en-US" w:eastAsia="zh-CN"/>
        </w:rPr>
        <w:t>（1）机构为</w:t>
      </w:r>
      <w:r>
        <w:rPr>
          <w:rFonts w:hint="default" w:ascii="宋体" w:hAnsi="宋体" w:eastAsia="仿宋_GB2312" w:cs="宋体"/>
          <w:b w:val="0"/>
          <w:bCs w:val="0"/>
          <w:color w:val="auto"/>
          <w:sz w:val="32"/>
          <w:szCs w:val="32"/>
          <w:highlight w:val="none"/>
          <w:lang w:val="en-US" w:eastAsia="zh-CN"/>
        </w:rPr>
        <w:t>2025年7月1日以后新增的引进共建高端研发机构，时间以</w:t>
      </w:r>
      <w:r>
        <w:rPr>
          <w:rFonts w:hint="eastAsia" w:ascii="宋体" w:hAnsi="宋体" w:eastAsia="仿宋_GB2312" w:cs="宋体"/>
          <w:b w:val="0"/>
          <w:bCs w:val="0"/>
          <w:color w:val="auto"/>
          <w:sz w:val="32"/>
          <w:szCs w:val="32"/>
          <w:highlight w:val="none"/>
          <w:lang w:val="en-US" w:eastAsia="zh-CN"/>
        </w:rPr>
        <w:t>赣州市</w:t>
      </w:r>
      <w:r>
        <w:rPr>
          <w:rFonts w:hint="default" w:ascii="宋体" w:hAnsi="宋体" w:eastAsia="仿宋_GB2312" w:cs="宋体"/>
          <w:b w:val="0"/>
          <w:bCs w:val="0"/>
          <w:color w:val="auto"/>
          <w:sz w:val="32"/>
          <w:szCs w:val="32"/>
          <w:highlight w:val="none"/>
          <w:lang w:val="en-US" w:eastAsia="zh-CN"/>
        </w:rPr>
        <w:t>认定或批复文件落款时间为准。</w:t>
      </w:r>
    </w:p>
    <w:p w14:paraId="2A0ECB1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_GB2312" w:cs="宋体"/>
          <w:b w:val="0"/>
          <w:bCs w:val="0"/>
          <w:color w:val="auto"/>
          <w:sz w:val="32"/>
          <w:szCs w:val="32"/>
          <w:highlight w:val="none"/>
          <w:lang w:val="en-US" w:eastAsia="zh-CN"/>
        </w:rPr>
      </w:pPr>
      <w:r>
        <w:rPr>
          <w:rFonts w:hint="eastAsia" w:ascii="宋体" w:hAnsi="宋体" w:eastAsia="仿宋_GB2312" w:cs="宋体"/>
          <w:b w:val="0"/>
          <w:bCs w:val="0"/>
          <w:color w:val="auto"/>
          <w:sz w:val="32"/>
          <w:szCs w:val="32"/>
          <w:highlight w:val="none"/>
          <w:lang w:val="en-US" w:eastAsia="zh-CN"/>
        </w:rPr>
        <w:t>（2）机构成功签订合作协议并挂牌运行。</w:t>
      </w:r>
    </w:p>
    <w:p w14:paraId="3B74F51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宋体" w:hAnsi="宋体" w:eastAsia="仿宋_GB2312" w:cs="宋体"/>
          <w:b w:val="0"/>
          <w:bCs w:val="0"/>
          <w:color w:val="auto"/>
          <w:sz w:val="32"/>
          <w:szCs w:val="32"/>
          <w:highlight w:val="none"/>
          <w:lang w:val="en-US" w:eastAsia="zh-CN"/>
        </w:rPr>
      </w:pPr>
      <w:r>
        <w:rPr>
          <w:rFonts w:hint="eastAsia" w:ascii="宋体" w:hAnsi="宋体" w:eastAsia="仿宋_GB2312" w:cs="宋体"/>
          <w:b/>
          <w:bCs/>
          <w:color w:val="auto"/>
          <w:spacing w:val="0"/>
          <w:kern w:val="2"/>
          <w:sz w:val="32"/>
          <w:szCs w:val="32"/>
          <w:highlight w:val="none"/>
          <w:lang w:val="en-US" w:eastAsia="zh-CN" w:bidi="ar-SA"/>
        </w:rPr>
        <w:t>5.业务咨询：</w:t>
      </w:r>
      <w:r>
        <w:rPr>
          <w:rFonts w:hint="eastAsia" w:ascii="宋体" w:hAnsi="宋体" w:eastAsia="仿宋_GB2312" w:cs="宋体"/>
          <w:b w:val="0"/>
          <w:bCs w:val="0"/>
          <w:color w:val="auto"/>
          <w:spacing w:val="0"/>
          <w:kern w:val="2"/>
          <w:sz w:val="32"/>
          <w:szCs w:val="32"/>
          <w:highlight w:val="none"/>
          <w:lang w:val="en-US" w:eastAsia="zh-CN" w:bidi="ar-SA"/>
        </w:rPr>
        <w:t>成果人才股曾春燕19070635913。</w:t>
      </w:r>
    </w:p>
    <w:p w14:paraId="64C5001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宋体" w:hAnsi="宋体" w:eastAsia="仿宋_GB2312" w:cs="宋体"/>
          <w:b/>
          <w:bCs/>
          <w:color w:val="auto"/>
          <w:spacing w:val="0"/>
          <w:kern w:val="2"/>
          <w:sz w:val="32"/>
          <w:szCs w:val="32"/>
          <w:lang w:val="en-US" w:eastAsia="zh-CN" w:bidi="ar-SA"/>
        </w:rPr>
      </w:pPr>
      <w:r>
        <w:rPr>
          <w:rFonts w:hint="eastAsia" w:ascii="宋体" w:hAnsi="宋体" w:eastAsia="仿宋_GB2312" w:cs="宋体"/>
          <w:b/>
          <w:bCs/>
          <w:color w:val="auto"/>
          <w:spacing w:val="0"/>
          <w:sz w:val="32"/>
          <w:szCs w:val="32"/>
          <w:lang w:val="en-US" w:eastAsia="zh-CN"/>
        </w:rPr>
        <w:t>（三）科技项目配套支持项目</w:t>
      </w:r>
      <w:r>
        <w:rPr>
          <w:rFonts w:hint="eastAsia" w:ascii="宋体" w:hAnsi="宋体" w:eastAsia="仿宋_GB2312" w:cs="宋体"/>
          <w:b w:val="0"/>
          <w:bCs w:val="0"/>
          <w:color w:val="auto"/>
          <w:spacing w:val="0"/>
          <w:kern w:val="2"/>
          <w:sz w:val="32"/>
          <w:szCs w:val="32"/>
          <w:lang w:val="en-US" w:eastAsia="zh-CN" w:bidi="ar-SA"/>
        </w:rPr>
        <w:t>（</w:t>
      </w:r>
      <w:r>
        <w:rPr>
          <w:rFonts w:hint="eastAsia" w:ascii="宋体" w:hAnsi="宋体" w:eastAsia="仿宋_GB2312" w:cs="宋体"/>
          <w:color w:val="auto"/>
          <w:kern w:val="0"/>
          <w:sz w:val="31"/>
          <w:szCs w:val="31"/>
          <w:highlight w:val="none"/>
          <w:lang w:val="en-US" w:eastAsia="zh-CN" w:bidi="ar"/>
        </w:rPr>
        <w:t>《若干政策》</w:t>
      </w:r>
      <w:r>
        <w:rPr>
          <w:rFonts w:hint="eastAsia" w:ascii="宋体" w:hAnsi="宋体" w:eastAsia="仿宋_GB2312" w:cs="宋体"/>
          <w:b w:val="0"/>
          <w:bCs w:val="0"/>
          <w:color w:val="auto"/>
          <w:spacing w:val="0"/>
          <w:kern w:val="2"/>
          <w:sz w:val="32"/>
          <w:szCs w:val="32"/>
          <w:lang w:val="en-US" w:eastAsia="zh-CN" w:bidi="ar-SA"/>
        </w:rPr>
        <w:t>第九条）</w:t>
      </w:r>
    </w:p>
    <w:p w14:paraId="3BB46BD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宋体" w:hAnsi="宋体" w:eastAsia="仿宋_GB2312" w:cs="宋体"/>
          <w:b w:val="0"/>
          <w:bCs w:val="0"/>
          <w:color w:val="auto"/>
          <w:sz w:val="32"/>
          <w:szCs w:val="32"/>
          <w:lang w:val="en-US" w:eastAsia="zh-CN"/>
        </w:rPr>
      </w:pPr>
      <w:r>
        <w:rPr>
          <w:rFonts w:hint="eastAsia" w:ascii="宋体" w:hAnsi="宋体" w:eastAsia="仿宋_GB2312" w:cs="宋体"/>
          <w:b/>
          <w:bCs/>
          <w:color w:val="auto"/>
          <w:sz w:val="32"/>
          <w:szCs w:val="32"/>
          <w:lang w:val="en-US" w:eastAsia="zh-CN"/>
        </w:rPr>
        <w:t>1.支持对象：</w:t>
      </w:r>
      <w:r>
        <w:rPr>
          <w:rFonts w:hint="eastAsia" w:ascii="宋体" w:hAnsi="宋体" w:eastAsia="仿宋_GB2312" w:cs="宋体"/>
          <w:b w:val="0"/>
          <w:bCs w:val="0"/>
          <w:color w:val="auto"/>
          <w:sz w:val="32"/>
          <w:szCs w:val="32"/>
          <w:lang w:val="en-US" w:eastAsia="zh-CN"/>
        </w:rPr>
        <w:t>国</w:t>
      </w:r>
      <w:r>
        <w:rPr>
          <w:rFonts w:hint="eastAsia" w:ascii="宋体" w:hAnsi="宋体" w:eastAsia="仿宋_GB2312" w:cs="宋体"/>
          <w:b w:val="0"/>
          <w:bCs w:val="0"/>
          <w:color w:val="auto"/>
          <w:spacing w:val="-6"/>
          <w:sz w:val="32"/>
          <w:szCs w:val="32"/>
          <w:lang w:val="en-US" w:eastAsia="zh-CN"/>
        </w:rPr>
        <w:t>家、省级、赣州市级各类科技项目牵头单位。</w:t>
      </w:r>
    </w:p>
    <w:p w14:paraId="217F7B8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宋体" w:hAnsi="宋体" w:eastAsia="仿宋_GB2312" w:cs="宋体"/>
          <w:b w:val="0"/>
          <w:bCs w:val="0"/>
          <w:color w:val="auto"/>
          <w:sz w:val="32"/>
          <w:szCs w:val="32"/>
          <w:lang w:val="en-US" w:eastAsia="zh-CN"/>
        </w:rPr>
      </w:pPr>
      <w:r>
        <w:rPr>
          <w:rFonts w:hint="eastAsia" w:ascii="宋体" w:hAnsi="宋体" w:eastAsia="仿宋_GB2312" w:cs="宋体"/>
          <w:b/>
          <w:bCs/>
          <w:color w:val="auto"/>
          <w:sz w:val="32"/>
          <w:szCs w:val="32"/>
          <w:lang w:val="en-US" w:eastAsia="zh-CN"/>
        </w:rPr>
        <w:t>2.支持方式：</w:t>
      </w:r>
      <w:r>
        <w:rPr>
          <w:rFonts w:hint="eastAsia" w:ascii="宋体" w:hAnsi="宋体" w:eastAsia="仿宋_GB2312" w:cs="宋体"/>
          <w:b w:val="0"/>
          <w:bCs w:val="0"/>
          <w:color w:val="auto"/>
          <w:sz w:val="32"/>
          <w:szCs w:val="32"/>
          <w:lang w:val="en-US" w:eastAsia="zh-CN"/>
        </w:rPr>
        <w:t>事后资助，属核准类项目。</w:t>
      </w:r>
    </w:p>
    <w:p w14:paraId="2ECC38B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仿宋_GB2312" w:cs="宋体"/>
          <w:b w:val="0"/>
          <w:bCs w:val="0"/>
          <w:color w:val="auto"/>
          <w:sz w:val="32"/>
          <w:szCs w:val="32"/>
          <w:lang w:val="en-US" w:eastAsia="zh-CN"/>
        </w:rPr>
      </w:pPr>
      <w:r>
        <w:rPr>
          <w:rFonts w:hint="eastAsia" w:ascii="宋体" w:hAnsi="宋体" w:eastAsia="仿宋_GB2312" w:cs="宋体"/>
          <w:b/>
          <w:bCs/>
          <w:color w:val="auto"/>
          <w:sz w:val="32"/>
          <w:szCs w:val="32"/>
          <w:lang w:val="en-US" w:eastAsia="zh-CN"/>
        </w:rPr>
        <w:t>3.支持标准：</w:t>
      </w:r>
      <w:r>
        <w:rPr>
          <w:rFonts w:hint="eastAsia" w:ascii="宋体" w:hAnsi="宋体" w:eastAsia="仿宋_GB2312" w:cs="宋体"/>
          <w:b w:val="0"/>
          <w:bCs w:val="0"/>
          <w:color w:val="auto"/>
          <w:sz w:val="32"/>
          <w:szCs w:val="32"/>
          <w:lang w:val="en-US" w:eastAsia="zh-CN"/>
        </w:rPr>
        <w:t>加大核心技术攻关。支持各类创新主体聚焦国家战略需求和国际竞争前沿，承担一批具有前瞻性、战略性的重大科技项目、科技计划项目等。对获批国家级项目（课题）的，由市财政按照国家拨款额15%、最高100万元配套资助；对获批省级项目（课题）的，由市财政按照省级拨款额10%、最高80万元配套资助；对获批赣州市项目（课题）的，由市财政按照赣州市级拨款额10%、最高40万元配套资助。每家单位每年资助最高500万元。</w:t>
      </w:r>
    </w:p>
    <w:p w14:paraId="7F495EE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宋体" w:hAnsi="宋体" w:eastAsia="仿宋_GB2312" w:cs="宋体"/>
          <w:b/>
          <w:bCs/>
          <w:color w:val="auto"/>
          <w:sz w:val="32"/>
          <w:szCs w:val="32"/>
          <w:lang w:val="en-US" w:eastAsia="zh-CN"/>
        </w:rPr>
      </w:pPr>
      <w:r>
        <w:rPr>
          <w:rFonts w:hint="eastAsia" w:ascii="宋体" w:hAnsi="宋体" w:eastAsia="仿宋_GB2312" w:cs="宋体"/>
          <w:b/>
          <w:bCs/>
          <w:color w:val="auto"/>
          <w:sz w:val="32"/>
          <w:szCs w:val="32"/>
          <w:lang w:val="en-US" w:eastAsia="zh-CN"/>
        </w:rPr>
        <w:t>4.申报条件：</w:t>
      </w:r>
    </w:p>
    <w:p w14:paraId="3F8D63E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仿宋_GB2312" w:cs="宋体"/>
          <w:b w:val="0"/>
          <w:bCs w:val="0"/>
          <w:color w:val="auto"/>
          <w:sz w:val="32"/>
          <w:szCs w:val="32"/>
          <w:highlight w:val="none"/>
          <w:lang w:val="en-US" w:eastAsia="zh-CN"/>
        </w:rPr>
      </w:pPr>
      <w:r>
        <w:rPr>
          <w:rFonts w:hint="eastAsia" w:ascii="宋体" w:hAnsi="宋体" w:eastAsia="仿宋_GB2312" w:cs="宋体"/>
          <w:b w:val="0"/>
          <w:bCs w:val="0"/>
          <w:color w:val="auto"/>
          <w:sz w:val="32"/>
          <w:szCs w:val="32"/>
          <w:highlight w:val="none"/>
          <w:lang w:val="en-US" w:eastAsia="zh-CN"/>
        </w:rPr>
        <w:t>（1）项目批复时间在2025年7月1日以后，以批复文件落款时间为准，且获批时申报单位已在龙南从事经营活动。</w:t>
      </w:r>
    </w:p>
    <w:p w14:paraId="3C95A64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仿宋_GB2312" w:cs="宋体"/>
          <w:b w:val="0"/>
          <w:bCs w:val="0"/>
          <w:color w:val="auto"/>
          <w:sz w:val="32"/>
          <w:szCs w:val="32"/>
          <w:highlight w:val="none"/>
          <w:lang w:val="en-US" w:eastAsia="zh-CN"/>
        </w:rPr>
      </w:pPr>
      <w:r>
        <w:rPr>
          <w:rFonts w:hint="eastAsia" w:ascii="宋体" w:hAnsi="宋体" w:eastAsia="仿宋_GB2312" w:cs="宋体"/>
          <w:b w:val="0"/>
          <w:bCs w:val="0"/>
          <w:color w:val="auto"/>
          <w:sz w:val="32"/>
          <w:szCs w:val="32"/>
          <w:highlight w:val="none"/>
          <w:lang w:val="en-US" w:eastAsia="zh-CN"/>
        </w:rPr>
        <w:t>（2）申报单位所获上级财政资助经费已实际到账。</w:t>
      </w:r>
    </w:p>
    <w:p w14:paraId="529FEFA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宋体" w:hAnsi="宋体" w:eastAsia="仿宋_GB2312" w:cs="宋体"/>
          <w:b w:val="0"/>
          <w:bCs w:val="0"/>
          <w:color w:val="auto"/>
          <w:sz w:val="32"/>
          <w:szCs w:val="32"/>
          <w:highlight w:val="none"/>
          <w:lang w:val="en-US" w:eastAsia="zh-CN"/>
        </w:rPr>
      </w:pPr>
      <w:r>
        <w:rPr>
          <w:rFonts w:hint="eastAsia" w:ascii="宋体" w:hAnsi="宋体" w:eastAsia="仿宋_GB2312" w:cs="宋体"/>
          <w:b/>
          <w:bCs/>
          <w:color w:val="auto"/>
          <w:spacing w:val="0"/>
          <w:kern w:val="2"/>
          <w:sz w:val="32"/>
          <w:szCs w:val="32"/>
          <w:highlight w:val="none"/>
          <w:lang w:val="en-US" w:eastAsia="zh-CN" w:bidi="ar-SA"/>
        </w:rPr>
        <w:t>5.业务咨询：</w:t>
      </w:r>
      <w:r>
        <w:rPr>
          <w:rFonts w:hint="eastAsia" w:ascii="宋体" w:hAnsi="宋体" w:eastAsia="仿宋_GB2312" w:cs="宋体"/>
          <w:b w:val="0"/>
          <w:bCs w:val="0"/>
          <w:color w:val="auto"/>
          <w:spacing w:val="0"/>
          <w:kern w:val="2"/>
          <w:sz w:val="32"/>
          <w:szCs w:val="32"/>
          <w:highlight w:val="none"/>
          <w:lang w:val="en-US" w:eastAsia="zh-CN" w:bidi="ar-SA"/>
        </w:rPr>
        <w:t>规划统筹股叶琴19070637375。</w:t>
      </w:r>
    </w:p>
    <w:p w14:paraId="434C89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宋体" w:hAnsi="宋体" w:eastAsia="仿宋_GB2312" w:cs="宋体"/>
          <w:b/>
          <w:bCs/>
          <w:color w:val="auto"/>
          <w:spacing w:val="0"/>
          <w:kern w:val="2"/>
          <w:sz w:val="32"/>
          <w:szCs w:val="32"/>
          <w:lang w:val="en-US" w:eastAsia="zh-CN" w:bidi="ar-SA"/>
        </w:rPr>
      </w:pPr>
      <w:r>
        <w:rPr>
          <w:rFonts w:hint="eastAsia" w:ascii="宋体" w:hAnsi="宋体" w:eastAsia="仿宋_GB2312" w:cs="宋体"/>
          <w:b/>
          <w:bCs/>
          <w:color w:val="auto"/>
          <w:spacing w:val="0"/>
          <w:sz w:val="32"/>
          <w:szCs w:val="32"/>
          <w:lang w:val="en-US" w:eastAsia="zh-CN"/>
        </w:rPr>
        <w:t>（四）研发投入资助项目</w:t>
      </w:r>
      <w:r>
        <w:rPr>
          <w:rFonts w:hint="eastAsia" w:ascii="宋体" w:hAnsi="宋体" w:eastAsia="仿宋_GB2312" w:cs="宋体"/>
          <w:b w:val="0"/>
          <w:bCs w:val="0"/>
          <w:color w:val="auto"/>
          <w:spacing w:val="0"/>
          <w:kern w:val="2"/>
          <w:sz w:val="32"/>
          <w:szCs w:val="32"/>
          <w:lang w:val="en-US" w:eastAsia="zh-CN" w:bidi="ar-SA"/>
        </w:rPr>
        <w:t>（</w:t>
      </w:r>
      <w:r>
        <w:rPr>
          <w:rFonts w:hint="eastAsia" w:ascii="宋体" w:hAnsi="宋体" w:eastAsia="仿宋_GB2312" w:cs="宋体"/>
          <w:color w:val="auto"/>
          <w:kern w:val="0"/>
          <w:sz w:val="31"/>
          <w:szCs w:val="31"/>
          <w:highlight w:val="none"/>
          <w:lang w:val="en-US" w:eastAsia="zh-CN" w:bidi="ar"/>
        </w:rPr>
        <w:t>《若干政策》</w:t>
      </w:r>
      <w:r>
        <w:rPr>
          <w:rFonts w:hint="eastAsia" w:ascii="宋体" w:hAnsi="宋体" w:eastAsia="仿宋_GB2312" w:cs="宋体"/>
          <w:b w:val="0"/>
          <w:bCs w:val="0"/>
          <w:color w:val="auto"/>
          <w:spacing w:val="0"/>
          <w:kern w:val="2"/>
          <w:sz w:val="32"/>
          <w:szCs w:val="32"/>
          <w:lang w:val="en-US" w:eastAsia="zh-CN" w:bidi="ar-SA"/>
        </w:rPr>
        <w:t>第十条）</w:t>
      </w:r>
    </w:p>
    <w:p w14:paraId="0DEF855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仿宋_GB2312" w:cs="宋体"/>
          <w:b w:val="0"/>
          <w:bCs w:val="0"/>
          <w:color w:val="auto"/>
          <w:spacing w:val="0"/>
          <w:sz w:val="32"/>
          <w:szCs w:val="32"/>
          <w:lang w:val="en-US" w:eastAsia="zh-CN"/>
        </w:rPr>
      </w:pPr>
      <w:r>
        <w:rPr>
          <w:rFonts w:hint="eastAsia" w:ascii="宋体" w:hAnsi="宋体" w:eastAsia="仿宋_GB2312" w:cs="宋体"/>
          <w:b/>
          <w:bCs/>
          <w:color w:val="auto"/>
          <w:spacing w:val="0"/>
          <w:sz w:val="32"/>
          <w:szCs w:val="32"/>
          <w:lang w:val="en-US" w:eastAsia="zh-CN"/>
        </w:rPr>
        <w:t>1.支持</w:t>
      </w:r>
      <w:r>
        <w:rPr>
          <w:rFonts w:hint="eastAsia" w:ascii="宋体" w:hAnsi="宋体" w:eastAsia="仿宋_GB2312" w:cs="宋体"/>
          <w:b/>
          <w:bCs/>
          <w:color w:val="auto"/>
          <w:spacing w:val="0"/>
          <w:kern w:val="2"/>
          <w:sz w:val="32"/>
          <w:szCs w:val="32"/>
          <w:lang w:val="en-US" w:eastAsia="zh-CN" w:bidi="ar-SA"/>
        </w:rPr>
        <w:t>对象:</w:t>
      </w:r>
      <w:r>
        <w:rPr>
          <w:rFonts w:hint="eastAsia" w:ascii="宋体" w:hAnsi="宋体" w:eastAsia="仿宋_GB2312" w:cs="宋体"/>
          <w:b w:val="0"/>
          <w:bCs w:val="0"/>
          <w:color w:val="auto"/>
          <w:spacing w:val="0"/>
          <w:sz w:val="32"/>
          <w:szCs w:val="32"/>
          <w:lang w:val="en-US" w:eastAsia="zh-CN"/>
        </w:rPr>
        <w:t>符合条件的企业、高校、科研院所、三甲医院，及</w:t>
      </w:r>
      <w:r>
        <w:rPr>
          <w:rFonts w:hint="eastAsia" w:ascii="宋体" w:hAnsi="宋体" w:eastAsia="仿宋_GB2312" w:cs="宋体"/>
          <w:color w:val="auto"/>
          <w:sz w:val="32"/>
          <w:szCs w:val="32"/>
        </w:rPr>
        <w:t>企业统计（财务）人员</w:t>
      </w:r>
      <w:r>
        <w:rPr>
          <w:rFonts w:hint="eastAsia" w:ascii="宋体" w:hAnsi="宋体" w:eastAsia="仿宋_GB2312" w:cs="宋体"/>
          <w:b w:val="0"/>
          <w:bCs w:val="0"/>
          <w:color w:val="auto"/>
          <w:spacing w:val="0"/>
          <w:sz w:val="32"/>
          <w:szCs w:val="32"/>
          <w:lang w:val="en-US" w:eastAsia="zh-CN"/>
        </w:rPr>
        <w:t>。</w:t>
      </w:r>
    </w:p>
    <w:p w14:paraId="7E1A962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仿宋_GB2312" w:cs="宋体"/>
          <w:b w:val="0"/>
          <w:bCs w:val="0"/>
          <w:color w:val="auto"/>
          <w:spacing w:val="0"/>
          <w:sz w:val="32"/>
          <w:szCs w:val="32"/>
          <w:lang w:val="en-US" w:eastAsia="zh-CN"/>
        </w:rPr>
      </w:pPr>
      <w:r>
        <w:rPr>
          <w:rFonts w:hint="eastAsia" w:ascii="宋体" w:hAnsi="宋体" w:eastAsia="仿宋_GB2312" w:cs="宋体"/>
          <w:b/>
          <w:bCs/>
          <w:color w:val="auto"/>
          <w:spacing w:val="0"/>
          <w:sz w:val="32"/>
          <w:szCs w:val="32"/>
          <w:lang w:val="en-US" w:eastAsia="zh-CN"/>
        </w:rPr>
        <w:t>2.支持方式：</w:t>
      </w:r>
      <w:r>
        <w:rPr>
          <w:rFonts w:hint="eastAsia" w:ascii="宋体" w:hAnsi="宋体" w:eastAsia="仿宋_GB2312" w:cs="宋体"/>
          <w:b w:val="0"/>
          <w:bCs w:val="0"/>
          <w:color w:val="auto"/>
          <w:spacing w:val="0"/>
          <w:sz w:val="32"/>
          <w:szCs w:val="32"/>
          <w:lang w:val="en-US" w:eastAsia="zh-CN"/>
        </w:rPr>
        <w:t>事后资助。属核准类项目。</w:t>
      </w:r>
    </w:p>
    <w:p w14:paraId="68939C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仿宋_GB2312" w:cs="宋体"/>
          <w:color w:val="auto"/>
          <w:sz w:val="32"/>
          <w:szCs w:val="32"/>
        </w:rPr>
      </w:pPr>
      <w:r>
        <w:rPr>
          <w:rFonts w:hint="eastAsia" w:ascii="宋体" w:hAnsi="宋体" w:eastAsia="仿宋_GB2312" w:cs="宋体"/>
          <w:b/>
          <w:bCs/>
          <w:color w:val="auto"/>
          <w:spacing w:val="0"/>
          <w:kern w:val="2"/>
          <w:sz w:val="32"/>
          <w:szCs w:val="32"/>
          <w:lang w:val="en-US" w:eastAsia="zh-CN" w:bidi="ar-SA"/>
        </w:rPr>
        <w:t>3.</w:t>
      </w:r>
      <w:r>
        <w:rPr>
          <w:rFonts w:hint="eastAsia" w:ascii="宋体" w:hAnsi="宋体" w:eastAsia="仿宋_GB2312" w:cs="宋体"/>
          <w:b/>
          <w:bCs/>
          <w:color w:val="auto"/>
          <w:sz w:val="32"/>
          <w:szCs w:val="32"/>
          <w:lang w:val="en-US" w:eastAsia="zh-CN"/>
        </w:rPr>
        <w:t>支持标准：</w:t>
      </w:r>
      <w:r>
        <w:rPr>
          <w:rFonts w:hint="eastAsia" w:ascii="宋体" w:hAnsi="宋体" w:eastAsia="仿宋_GB2312" w:cs="宋体"/>
          <w:color w:val="auto"/>
          <w:sz w:val="32"/>
          <w:szCs w:val="32"/>
        </w:rPr>
        <w:t>激励全社会研发投入。对建立规范的研发费用台账，并在统计云联网直报平台上填报研发报表的企业（高校、科研院所、三甲医院等主体参照企业标准执行），根据上年度实际发生并上报的研发费用数，由市财政每年给予企业一定研发费用补助和统计（财务）人员补助。具体补助标准如下：</w:t>
      </w:r>
    </w:p>
    <w:p w14:paraId="63BAB48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_GB2312" w:cs="宋体"/>
          <w:color w:val="auto"/>
          <w:sz w:val="32"/>
          <w:szCs w:val="32"/>
        </w:rPr>
      </w:pPr>
      <w:r>
        <w:rPr>
          <w:rFonts w:hint="eastAsia" w:ascii="宋体" w:hAnsi="宋体" w:eastAsia="仿宋_GB2312" w:cs="宋体"/>
          <w:color w:val="auto"/>
          <w:sz w:val="32"/>
          <w:szCs w:val="32"/>
        </w:rPr>
        <w:t>（1）研发费用1亿元以上的，对其中的1亿元部分给予30万元补助，对超过1亿元部分的按0.1%的比例给予补助，每家企业补助资金不超过40万元；</w:t>
      </w:r>
    </w:p>
    <w:p w14:paraId="45BDFC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_GB2312" w:cs="宋体"/>
          <w:color w:val="auto"/>
          <w:sz w:val="32"/>
          <w:szCs w:val="32"/>
        </w:rPr>
      </w:pPr>
      <w:r>
        <w:rPr>
          <w:rFonts w:hint="eastAsia" w:ascii="宋体" w:hAnsi="宋体" w:eastAsia="仿宋_GB2312" w:cs="宋体"/>
          <w:color w:val="auto"/>
          <w:sz w:val="32"/>
          <w:szCs w:val="32"/>
        </w:rPr>
        <w:t>（2）研发费用5000万元至1亿元（含）的，对其中的5000万元部分给予20万元补助，对超过5000万元部分的按0.2%的比例给予补助，每家企业补助资金不超过30万元；</w:t>
      </w:r>
    </w:p>
    <w:p w14:paraId="4A4D6B4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_GB2312" w:cs="宋体"/>
          <w:color w:val="auto"/>
          <w:sz w:val="32"/>
          <w:szCs w:val="32"/>
        </w:rPr>
      </w:pPr>
      <w:r>
        <w:rPr>
          <w:rFonts w:hint="eastAsia" w:ascii="宋体" w:hAnsi="宋体" w:eastAsia="仿宋_GB2312" w:cs="宋体"/>
          <w:color w:val="auto"/>
          <w:sz w:val="32"/>
          <w:szCs w:val="32"/>
        </w:rPr>
        <w:t>（3）研发费用1000万元至5000万元（含）的，对其中的 1000万元部分给予10万元补助，对超过1000万元部分的按0.25%的比例给予补助，每家企业补助资金不超过20万元；</w:t>
      </w:r>
    </w:p>
    <w:p w14:paraId="4C495AC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_GB2312" w:cs="宋体"/>
          <w:color w:val="auto"/>
          <w:sz w:val="32"/>
          <w:szCs w:val="32"/>
        </w:rPr>
      </w:pPr>
      <w:r>
        <w:rPr>
          <w:rFonts w:hint="eastAsia" w:ascii="宋体" w:hAnsi="宋体" w:eastAsia="仿宋_GB2312" w:cs="宋体"/>
          <w:color w:val="auto"/>
          <w:sz w:val="32"/>
          <w:szCs w:val="32"/>
        </w:rPr>
        <w:t>（4）研发费用400万元至1000万元（含）的，对其中的400万元部分给予5万元补助，对超过400万元部分的按0.5%的比例给予补助，每家企业不超过8万元；</w:t>
      </w:r>
    </w:p>
    <w:p w14:paraId="45CBDA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_GB2312" w:cs="宋体"/>
          <w:color w:val="auto"/>
          <w:sz w:val="32"/>
          <w:szCs w:val="32"/>
        </w:rPr>
      </w:pPr>
      <w:r>
        <w:rPr>
          <w:rFonts w:hint="eastAsia" w:ascii="宋体" w:hAnsi="宋体" w:eastAsia="仿宋_GB2312" w:cs="宋体"/>
          <w:color w:val="auto"/>
          <w:sz w:val="32"/>
          <w:szCs w:val="32"/>
        </w:rPr>
        <w:t>（5）研发费用100万元（含）至400万元（含）的，对比上年增幅超过30%或总量较上一年增长200万元以上的，每家企业给予5万元补助。</w:t>
      </w:r>
    </w:p>
    <w:p w14:paraId="048BAFE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_GB2312" w:cs="宋体"/>
          <w:strike w:val="0"/>
          <w:dstrike w:val="0"/>
          <w:color w:val="auto"/>
          <w:spacing w:val="0"/>
          <w:sz w:val="32"/>
          <w:szCs w:val="32"/>
          <w:lang w:val="en-US" w:eastAsia="zh-CN"/>
        </w:rPr>
      </w:pPr>
      <w:r>
        <w:rPr>
          <w:rFonts w:hint="eastAsia" w:ascii="宋体" w:hAnsi="宋体" w:eastAsia="仿宋_GB2312" w:cs="宋体"/>
          <w:color w:val="auto"/>
          <w:sz w:val="32"/>
          <w:szCs w:val="32"/>
        </w:rPr>
        <w:t>属于高新技术企业的，按以上标准计算结果乘以系数1.2确定最终补助金额</w:t>
      </w:r>
      <w:r>
        <w:rPr>
          <w:rFonts w:hint="eastAsia" w:ascii="宋体" w:hAnsi="宋体" w:eastAsia="仿宋_GB2312" w:cs="宋体"/>
          <w:strike w:val="0"/>
          <w:dstrike w:val="0"/>
          <w:color w:val="auto"/>
          <w:spacing w:val="0"/>
          <w:sz w:val="32"/>
          <w:szCs w:val="32"/>
          <w:lang w:val="en-US" w:eastAsia="zh-CN"/>
        </w:rPr>
        <w:t>。</w:t>
      </w:r>
    </w:p>
    <w:p w14:paraId="2FB5BA4F">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宋体" w:hAnsi="宋体" w:eastAsia="仿宋_GB2312" w:cs="宋体"/>
          <w:b/>
          <w:bCs/>
          <w:color w:val="auto"/>
          <w:spacing w:val="0"/>
          <w:kern w:val="2"/>
          <w:sz w:val="32"/>
          <w:szCs w:val="32"/>
          <w:lang w:val="en-US" w:eastAsia="zh-CN" w:bidi="ar-SA"/>
        </w:rPr>
      </w:pPr>
      <w:r>
        <w:rPr>
          <w:rFonts w:hint="eastAsia" w:ascii="宋体" w:hAnsi="宋体" w:eastAsia="仿宋_GB2312" w:cs="宋体"/>
          <w:b/>
          <w:bCs/>
          <w:color w:val="auto"/>
          <w:spacing w:val="0"/>
          <w:kern w:val="2"/>
          <w:sz w:val="32"/>
          <w:szCs w:val="32"/>
          <w:lang w:val="en-US" w:eastAsia="zh-CN" w:bidi="ar-SA"/>
        </w:rPr>
        <w:t>4.申报条件：</w:t>
      </w:r>
    </w:p>
    <w:p w14:paraId="255EDB29">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20" w:firstLineChars="200"/>
        <w:jc w:val="both"/>
        <w:textAlignment w:val="auto"/>
        <w:rPr>
          <w:rFonts w:hint="eastAsia" w:ascii="宋体" w:hAnsi="宋体" w:eastAsia="仿宋_GB2312" w:cs="宋体"/>
          <w:color w:val="auto"/>
          <w:kern w:val="0"/>
          <w:sz w:val="31"/>
          <w:szCs w:val="31"/>
          <w:highlight w:val="none"/>
          <w:lang w:val="en-US" w:eastAsia="zh-CN" w:bidi="ar"/>
        </w:rPr>
      </w:pPr>
      <w:r>
        <w:rPr>
          <w:rFonts w:hint="eastAsia" w:ascii="宋体" w:hAnsi="宋体" w:eastAsia="仿宋_GB2312" w:cs="宋体"/>
          <w:color w:val="auto"/>
          <w:kern w:val="0"/>
          <w:sz w:val="31"/>
          <w:szCs w:val="31"/>
          <w:highlight w:val="none"/>
          <w:lang w:val="en-US" w:eastAsia="zh-CN" w:bidi="ar"/>
        </w:rPr>
        <w:t>（1）企业需安排专门的统计</w:t>
      </w:r>
      <w:r>
        <w:rPr>
          <w:rFonts w:hint="eastAsia" w:ascii="宋体" w:hAnsi="宋体" w:eastAsia="仿宋_GB2312" w:cs="宋体"/>
          <w:color w:val="auto"/>
          <w:sz w:val="32"/>
          <w:szCs w:val="32"/>
        </w:rPr>
        <w:t>（财务）</w:t>
      </w:r>
      <w:r>
        <w:rPr>
          <w:rFonts w:hint="eastAsia" w:ascii="宋体" w:hAnsi="宋体" w:eastAsia="仿宋_GB2312" w:cs="宋体"/>
          <w:color w:val="auto"/>
          <w:kern w:val="0"/>
          <w:sz w:val="31"/>
          <w:szCs w:val="31"/>
          <w:highlight w:val="none"/>
          <w:lang w:val="en-US" w:eastAsia="zh-CN" w:bidi="ar"/>
        </w:rPr>
        <w:t>人员负责研发费用归集及填报工作并设立岗位补贴，统计</w:t>
      </w:r>
      <w:r>
        <w:rPr>
          <w:rFonts w:hint="eastAsia" w:ascii="宋体" w:hAnsi="宋体" w:eastAsia="仿宋_GB2312" w:cs="宋体"/>
          <w:color w:val="auto"/>
          <w:sz w:val="32"/>
          <w:szCs w:val="32"/>
        </w:rPr>
        <w:t>（财务）</w:t>
      </w:r>
      <w:r>
        <w:rPr>
          <w:rFonts w:hint="eastAsia" w:ascii="宋体" w:hAnsi="宋体" w:eastAsia="仿宋_GB2312" w:cs="宋体"/>
          <w:color w:val="auto"/>
          <w:kern w:val="0"/>
          <w:sz w:val="31"/>
          <w:szCs w:val="31"/>
          <w:highlight w:val="none"/>
          <w:lang w:val="en-US" w:eastAsia="zh-CN" w:bidi="ar"/>
        </w:rPr>
        <w:t>人员岗位补贴由企业从所获得的研发投入奖补资金中拨付。</w:t>
      </w:r>
    </w:p>
    <w:p w14:paraId="18FA9539">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20" w:firstLineChars="200"/>
        <w:jc w:val="both"/>
        <w:textAlignment w:val="auto"/>
        <w:rPr>
          <w:rFonts w:hint="eastAsia" w:ascii="宋体" w:hAnsi="宋体" w:eastAsia="仿宋_GB2312" w:cs="宋体"/>
          <w:color w:val="auto"/>
          <w:kern w:val="0"/>
          <w:sz w:val="31"/>
          <w:szCs w:val="31"/>
          <w:highlight w:val="none"/>
          <w:lang w:val="en-US" w:eastAsia="zh-CN" w:bidi="ar"/>
        </w:rPr>
      </w:pPr>
      <w:r>
        <w:rPr>
          <w:rFonts w:hint="eastAsia" w:ascii="宋体" w:hAnsi="宋体" w:eastAsia="仿宋_GB2312" w:cs="宋体"/>
          <w:color w:val="auto"/>
          <w:kern w:val="0"/>
          <w:sz w:val="31"/>
          <w:szCs w:val="31"/>
          <w:highlight w:val="none"/>
          <w:lang w:val="en-US" w:eastAsia="zh-CN" w:bidi="ar"/>
        </w:rPr>
        <w:t>（2）根据企业上年度研发费用上报数初步确定符合补助标准的企业名单，由企业提供研发资料，如统计报表(107-1、107-2报表等)、研发费用辅助账、财务报表、研发项目合同书、研发费用加计扣除优惠明细表、研发场地情况等资料至市科技局进行审核，根据审核情况确定补助名单。</w:t>
      </w:r>
    </w:p>
    <w:p w14:paraId="5AF76149">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20" w:firstLineChars="200"/>
        <w:jc w:val="both"/>
        <w:textAlignment w:val="auto"/>
        <w:rPr>
          <w:rFonts w:hint="eastAsia" w:ascii="宋体" w:hAnsi="宋体" w:eastAsia="仿宋_GB2312" w:cs="宋体"/>
          <w:color w:val="auto"/>
          <w:kern w:val="0"/>
          <w:sz w:val="31"/>
          <w:szCs w:val="31"/>
          <w:highlight w:val="none"/>
          <w:lang w:val="en-US" w:eastAsia="zh-CN" w:bidi="ar"/>
        </w:rPr>
      </w:pPr>
      <w:r>
        <w:rPr>
          <w:rFonts w:hint="eastAsia" w:ascii="宋体" w:hAnsi="宋体" w:eastAsia="仿宋_GB2312" w:cs="宋体"/>
          <w:color w:val="auto"/>
          <w:kern w:val="0"/>
          <w:sz w:val="31"/>
          <w:szCs w:val="31"/>
          <w:highlight w:val="none"/>
          <w:lang w:val="en-US" w:eastAsia="zh-CN" w:bidi="ar"/>
        </w:rPr>
        <w:t>（3）以企业上年度研发费用上报数作为补助资金测算基数来确定所处档次，再结合企业研发费用同比增长情况、研发费用加计扣除申报情况及统计部门反馈的研发费用认定情况等对补助金额进行加权，确定最终奖补金额。</w:t>
      </w:r>
    </w:p>
    <w:p w14:paraId="13BBDBBE">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20" w:firstLineChars="200"/>
        <w:jc w:val="left"/>
        <w:textAlignment w:val="auto"/>
        <w:rPr>
          <w:rFonts w:hint="default" w:ascii="宋体" w:hAnsi="宋体" w:eastAsia="仿宋_GB2312" w:cs="宋体"/>
          <w:color w:val="auto"/>
          <w:kern w:val="0"/>
          <w:sz w:val="31"/>
          <w:szCs w:val="31"/>
          <w:highlight w:val="none"/>
          <w:lang w:val="en-US" w:eastAsia="zh-CN" w:bidi="ar"/>
        </w:rPr>
      </w:pPr>
      <w:r>
        <w:rPr>
          <w:rFonts w:hint="eastAsia" w:ascii="宋体" w:hAnsi="宋体" w:eastAsia="仿宋_GB2312" w:cs="宋体"/>
          <w:color w:val="auto"/>
          <w:kern w:val="0"/>
          <w:sz w:val="31"/>
          <w:szCs w:val="31"/>
          <w:highlight w:val="none"/>
          <w:lang w:val="en-US" w:eastAsia="zh-CN" w:bidi="ar"/>
        </w:rPr>
        <w:t>5.业务咨询：规划统筹股肖娴15707956968。</w:t>
      </w:r>
    </w:p>
    <w:p w14:paraId="1FF6313B">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仿宋_GB2312" w:cs="宋体"/>
          <w:color w:val="auto"/>
          <w:sz w:val="32"/>
          <w:szCs w:val="32"/>
        </w:rPr>
      </w:pPr>
      <w:r>
        <w:rPr>
          <w:rFonts w:hint="eastAsia" w:ascii="宋体" w:hAnsi="宋体" w:eastAsia="仿宋_GB2312" w:cs="宋体"/>
          <w:b/>
          <w:bCs/>
          <w:color w:val="auto"/>
          <w:spacing w:val="0"/>
          <w:sz w:val="32"/>
          <w:szCs w:val="32"/>
          <w:lang w:val="en-US" w:eastAsia="zh-CN"/>
        </w:rPr>
        <w:t>（五）创新企业资助项目</w:t>
      </w:r>
      <w:r>
        <w:rPr>
          <w:rFonts w:hint="eastAsia" w:ascii="宋体" w:hAnsi="宋体" w:eastAsia="仿宋_GB2312" w:cs="宋体"/>
          <w:b w:val="0"/>
          <w:bCs w:val="0"/>
          <w:color w:val="auto"/>
          <w:spacing w:val="0"/>
          <w:sz w:val="32"/>
          <w:szCs w:val="32"/>
          <w:lang w:val="en-US" w:eastAsia="zh-CN"/>
        </w:rPr>
        <w:t>（《若干政策》第十一条）</w:t>
      </w:r>
    </w:p>
    <w:p w14:paraId="35425444">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宋体" w:hAnsi="宋体" w:eastAsia="仿宋_GB2312" w:cs="宋体"/>
          <w:color w:val="auto"/>
          <w:sz w:val="32"/>
          <w:szCs w:val="32"/>
          <w:lang w:eastAsia="zh-CN"/>
        </w:rPr>
      </w:pPr>
      <w:r>
        <w:rPr>
          <w:rFonts w:hint="eastAsia" w:ascii="宋体" w:hAnsi="宋体" w:eastAsia="仿宋_GB2312" w:cs="宋体"/>
          <w:b/>
          <w:bCs/>
          <w:color w:val="auto"/>
          <w:kern w:val="0"/>
          <w:sz w:val="32"/>
          <w:szCs w:val="32"/>
          <w:lang w:val="en-US" w:eastAsia="zh-CN" w:bidi="ar"/>
        </w:rPr>
        <w:t>1.支持对象：</w:t>
      </w:r>
      <w:r>
        <w:rPr>
          <w:rFonts w:hint="eastAsia" w:ascii="宋体" w:hAnsi="宋体" w:eastAsia="仿宋_GB2312" w:cs="宋体"/>
          <w:b w:val="0"/>
          <w:bCs w:val="0"/>
          <w:color w:val="auto"/>
          <w:spacing w:val="0"/>
          <w:sz w:val="32"/>
          <w:szCs w:val="32"/>
          <w:highlight w:val="none"/>
          <w:lang w:val="en-US" w:eastAsia="zh-CN"/>
        </w:rPr>
        <w:t>科技领军、科技领军入库、独角兽、潜在（种子）独角兽、瞪羚（潜在）企业、</w:t>
      </w:r>
      <w:r>
        <w:rPr>
          <w:rFonts w:hint="eastAsia" w:ascii="宋体" w:hAnsi="宋体" w:eastAsia="仿宋_GB2312" w:cs="宋体"/>
          <w:color w:val="auto"/>
          <w:kern w:val="0"/>
          <w:sz w:val="32"/>
          <w:szCs w:val="32"/>
          <w:lang w:val="en-US" w:eastAsia="zh-CN" w:bidi="ar"/>
        </w:rPr>
        <w:t>高新技术企业、</w:t>
      </w:r>
      <w:r>
        <w:rPr>
          <w:rFonts w:hint="eastAsia" w:ascii="宋体" w:hAnsi="宋体" w:eastAsia="仿宋_GB2312" w:cs="宋体"/>
          <w:color w:val="auto"/>
          <w:sz w:val="32"/>
          <w:szCs w:val="32"/>
        </w:rPr>
        <w:t>科技型中小企业</w:t>
      </w:r>
      <w:r>
        <w:rPr>
          <w:rFonts w:hint="eastAsia" w:ascii="宋体" w:hAnsi="宋体" w:eastAsia="仿宋_GB2312" w:cs="宋体"/>
          <w:color w:val="auto"/>
          <w:sz w:val="32"/>
          <w:szCs w:val="32"/>
          <w:lang w:eastAsia="zh-CN"/>
        </w:rPr>
        <w:t>。</w:t>
      </w:r>
    </w:p>
    <w:p w14:paraId="63FC5C65">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宋体" w:hAnsi="宋体" w:eastAsia="仿宋_GB2312" w:cs="宋体"/>
          <w:color w:val="auto"/>
          <w:sz w:val="32"/>
          <w:szCs w:val="32"/>
        </w:rPr>
      </w:pPr>
      <w:r>
        <w:rPr>
          <w:rFonts w:hint="eastAsia" w:ascii="宋体" w:hAnsi="宋体" w:eastAsia="仿宋_GB2312" w:cs="宋体"/>
          <w:b/>
          <w:bCs/>
          <w:color w:val="auto"/>
          <w:kern w:val="0"/>
          <w:sz w:val="32"/>
          <w:szCs w:val="32"/>
          <w:lang w:val="en-US" w:eastAsia="zh-CN" w:bidi="ar"/>
        </w:rPr>
        <w:t>2.支持方式：</w:t>
      </w:r>
      <w:r>
        <w:rPr>
          <w:rFonts w:hint="eastAsia" w:ascii="宋体" w:hAnsi="宋体" w:eastAsia="仿宋_GB2312" w:cs="宋体"/>
          <w:b w:val="0"/>
          <w:bCs w:val="0"/>
          <w:color w:val="auto"/>
          <w:sz w:val="32"/>
          <w:szCs w:val="32"/>
          <w:lang w:val="en-US" w:eastAsia="zh-CN"/>
        </w:rPr>
        <w:t>事后资助，属核准类项目。</w:t>
      </w:r>
      <w:r>
        <w:rPr>
          <w:rFonts w:hint="eastAsia" w:ascii="宋体" w:hAnsi="宋体" w:eastAsia="仿宋_GB2312" w:cs="宋体"/>
          <w:color w:val="auto"/>
          <w:kern w:val="0"/>
          <w:sz w:val="32"/>
          <w:szCs w:val="32"/>
          <w:lang w:val="en-US" w:eastAsia="zh-CN" w:bidi="ar"/>
        </w:rPr>
        <w:t xml:space="preserve"> </w:t>
      </w:r>
    </w:p>
    <w:p w14:paraId="2E5D0266">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宋体" w:hAnsi="宋体" w:eastAsia="仿宋_GB2312" w:cs="宋体"/>
          <w:color w:val="auto"/>
          <w:sz w:val="32"/>
          <w:szCs w:val="32"/>
        </w:rPr>
      </w:pPr>
      <w:r>
        <w:rPr>
          <w:rFonts w:hint="eastAsia" w:ascii="宋体" w:hAnsi="宋体" w:eastAsia="仿宋_GB2312" w:cs="宋体"/>
          <w:b/>
          <w:bCs/>
          <w:color w:val="auto"/>
          <w:spacing w:val="0"/>
          <w:kern w:val="2"/>
          <w:sz w:val="32"/>
          <w:szCs w:val="32"/>
          <w:lang w:val="en-US" w:eastAsia="zh-CN" w:bidi="ar-SA"/>
        </w:rPr>
        <w:t>3.</w:t>
      </w:r>
      <w:r>
        <w:rPr>
          <w:rFonts w:hint="eastAsia" w:ascii="宋体" w:hAnsi="宋体" w:eastAsia="仿宋_GB2312" w:cs="宋体"/>
          <w:b/>
          <w:bCs/>
          <w:color w:val="auto"/>
          <w:sz w:val="32"/>
          <w:szCs w:val="32"/>
          <w:lang w:val="en-US" w:eastAsia="zh-CN"/>
        </w:rPr>
        <w:t>支持标准：</w:t>
      </w:r>
      <w:r>
        <w:rPr>
          <w:rFonts w:hint="eastAsia" w:ascii="宋体" w:hAnsi="宋体" w:eastAsia="仿宋_GB2312" w:cs="宋体"/>
          <w:color w:val="auto"/>
          <w:sz w:val="32"/>
          <w:szCs w:val="32"/>
        </w:rPr>
        <w:t>支持创新企业梯级成长。对首次认定的科技领军、科技领军入库、独角兽、潜在（种子）独角兽、瞪羚（潜在）企业，由市财政分别给予300万元、150万元、100万元、50万元、30万元奖励。对新认定的高新技术企业，由市财政给予30万元奖励；对复审通过的高新技术企业，由市财政给予20万元奖励，若该企业近三年研发投入及利润均呈逐年正增长，再给予10万元奖励。对当年完成高新技术企业申报并通过赣州市、龙南市两级审核但未认定为高新技术企业的给予3万元培育补助，待后续年度认定成功后，在高企补助资金中扣除，每家企业三年内限申报补助一次。对获国家备案的科技型中小企业，由市财政给予1万元一次性补助</w:t>
      </w:r>
      <w:r>
        <w:rPr>
          <w:rFonts w:hint="eastAsia" w:ascii="宋体" w:hAnsi="宋体" w:eastAsia="仿宋_GB2312" w:cs="宋体"/>
          <w:b w:val="0"/>
          <w:bCs w:val="0"/>
          <w:color w:val="auto"/>
          <w:spacing w:val="0"/>
          <w:sz w:val="32"/>
          <w:szCs w:val="32"/>
          <w:highlight w:val="none"/>
          <w:lang w:val="en-US" w:eastAsia="zh-CN"/>
        </w:rPr>
        <w:t>。</w:t>
      </w:r>
    </w:p>
    <w:p w14:paraId="7C375610">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宋体" w:hAnsi="宋体" w:eastAsia="仿宋_GB2312" w:cs="宋体"/>
          <w:b/>
          <w:bCs/>
          <w:color w:val="auto"/>
          <w:kern w:val="0"/>
          <w:sz w:val="32"/>
          <w:szCs w:val="32"/>
          <w:highlight w:val="none"/>
          <w:lang w:val="en-US" w:eastAsia="zh-CN" w:bidi="ar"/>
        </w:rPr>
      </w:pPr>
      <w:r>
        <w:rPr>
          <w:rFonts w:hint="eastAsia" w:ascii="宋体" w:hAnsi="宋体" w:eastAsia="仿宋_GB2312" w:cs="宋体"/>
          <w:b/>
          <w:bCs/>
          <w:color w:val="auto"/>
          <w:kern w:val="0"/>
          <w:sz w:val="32"/>
          <w:szCs w:val="32"/>
          <w:highlight w:val="none"/>
          <w:lang w:val="en-US" w:eastAsia="zh-CN" w:bidi="ar"/>
        </w:rPr>
        <w:t>4.申报条件：</w:t>
      </w:r>
    </w:p>
    <w:p w14:paraId="7117DB78">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20" w:firstLineChars="200"/>
        <w:jc w:val="both"/>
        <w:textAlignment w:val="auto"/>
        <w:rPr>
          <w:rFonts w:hint="eastAsia" w:ascii="宋体" w:hAnsi="宋体" w:eastAsia="仿宋_GB2312" w:cs="宋体"/>
          <w:color w:val="auto"/>
          <w:kern w:val="0"/>
          <w:sz w:val="31"/>
          <w:szCs w:val="31"/>
          <w:highlight w:val="none"/>
          <w:lang w:val="en-US" w:eastAsia="zh-CN" w:bidi="ar"/>
        </w:rPr>
      </w:pPr>
      <w:r>
        <w:rPr>
          <w:rFonts w:hint="eastAsia" w:ascii="宋体" w:hAnsi="宋体" w:eastAsia="仿宋_GB2312" w:cs="宋体"/>
          <w:color w:val="auto"/>
          <w:kern w:val="0"/>
          <w:sz w:val="31"/>
          <w:szCs w:val="31"/>
          <w:highlight w:val="none"/>
          <w:lang w:val="en-US" w:eastAsia="zh-CN" w:bidi="ar"/>
        </w:rPr>
        <w:t>（1）企业上述荣誉资质在2025年7月1日以后获得，时间以认定或批复文件落款时间为准。</w:t>
      </w:r>
    </w:p>
    <w:p w14:paraId="37222E70">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20" w:firstLineChars="200"/>
        <w:jc w:val="both"/>
        <w:textAlignment w:val="auto"/>
        <w:rPr>
          <w:rFonts w:hint="default" w:ascii="宋体" w:hAnsi="宋体" w:eastAsia="仿宋_GB2312" w:cs="宋体"/>
          <w:color w:val="auto"/>
          <w:kern w:val="0"/>
          <w:sz w:val="31"/>
          <w:szCs w:val="31"/>
          <w:highlight w:val="none"/>
          <w:lang w:val="en-US" w:eastAsia="zh-CN" w:bidi="ar"/>
        </w:rPr>
      </w:pPr>
      <w:r>
        <w:rPr>
          <w:rFonts w:hint="eastAsia" w:ascii="宋体" w:hAnsi="宋体" w:eastAsia="仿宋_GB2312" w:cs="宋体"/>
          <w:color w:val="auto"/>
          <w:kern w:val="0"/>
          <w:sz w:val="31"/>
          <w:szCs w:val="31"/>
          <w:highlight w:val="none"/>
          <w:lang w:val="en-US" w:eastAsia="zh-CN" w:bidi="ar"/>
        </w:rPr>
        <w:t>（2）属于复审通过且近三年研发投入及利润均呈逐年正增长的高新技术企业，企业近三年研发投入及利润以高企申报材料的数据为准，由市科技局征求相关部门意见进行核实。</w:t>
      </w:r>
    </w:p>
    <w:p w14:paraId="3A341A2B">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20" w:firstLineChars="200"/>
        <w:jc w:val="both"/>
        <w:textAlignment w:val="auto"/>
        <w:rPr>
          <w:rFonts w:hint="default" w:ascii="宋体" w:hAnsi="宋体" w:eastAsia="仿宋_GB2312" w:cs="宋体"/>
          <w:color w:val="auto"/>
          <w:kern w:val="0"/>
          <w:sz w:val="31"/>
          <w:szCs w:val="31"/>
          <w:highlight w:val="none"/>
          <w:lang w:val="en-US" w:eastAsia="zh-CN" w:bidi="ar"/>
        </w:rPr>
      </w:pPr>
      <w:r>
        <w:rPr>
          <w:rFonts w:hint="eastAsia" w:ascii="宋体" w:hAnsi="宋体" w:eastAsia="仿宋_GB2312" w:cs="宋体"/>
          <w:color w:val="auto"/>
          <w:kern w:val="0"/>
          <w:sz w:val="31"/>
          <w:szCs w:val="31"/>
          <w:highlight w:val="none"/>
          <w:lang w:val="en-US" w:eastAsia="zh-CN" w:bidi="ar"/>
        </w:rPr>
        <w:t>（3）属于当年完成高新技术企业申报并通过赣州市、龙南市两级审核但未认定为高新技术企业的企业，由企业填写培育补助申请表，自行选择该笔资金当年拨付或者待高新技术企业认定成功后与剩余奖励资金一同拨付。</w:t>
      </w:r>
    </w:p>
    <w:p w14:paraId="06FD7B6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宋体" w:hAnsi="宋体" w:eastAsia="仿宋_GB2312" w:cs="宋体"/>
          <w:b w:val="0"/>
          <w:bCs w:val="0"/>
          <w:color w:val="auto"/>
          <w:kern w:val="0"/>
          <w:sz w:val="32"/>
          <w:szCs w:val="32"/>
          <w:highlight w:val="none"/>
          <w:lang w:val="en-US" w:eastAsia="zh-CN" w:bidi="ar"/>
        </w:rPr>
      </w:pPr>
      <w:r>
        <w:rPr>
          <w:rFonts w:hint="eastAsia" w:ascii="宋体" w:hAnsi="宋体" w:eastAsia="仿宋_GB2312" w:cs="宋体"/>
          <w:b/>
          <w:bCs/>
          <w:color w:val="auto"/>
          <w:spacing w:val="0"/>
          <w:kern w:val="2"/>
          <w:sz w:val="32"/>
          <w:szCs w:val="32"/>
          <w:highlight w:val="none"/>
          <w:lang w:val="en-US" w:eastAsia="zh-CN" w:bidi="ar-SA"/>
        </w:rPr>
        <w:t>5.业务咨询：</w:t>
      </w:r>
      <w:r>
        <w:rPr>
          <w:rFonts w:hint="eastAsia" w:ascii="宋体" w:hAnsi="宋体" w:eastAsia="仿宋_GB2312" w:cs="宋体"/>
          <w:b w:val="0"/>
          <w:bCs w:val="0"/>
          <w:color w:val="auto"/>
          <w:spacing w:val="0"/>
          <w:kern w:val="2"/>
          <w:sz w:val="32"/>
          <w:szCs w:val="32"/>
          <w:highlight w:val="none"/>
          <w:lang w:val="en-US" w:eastAsia="zh-CN" w:bidi="ar-SA"/>
        </w:rPr>
        <w:t>产业一股刘誉15579727157。</w:t>
      </w:r>
    </w:p>
    <w:p w14:paraId="7E8A67F9">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仿宋_GB2312" w:cs="宋体"/>
          <w:b w:val="0"/>
          <w:bCs w:val="0"/>
          <w:color w:val="auto"/>
          <w:spacing w:val="0"/>
          <w:sz w:val="32"/>
          <w:szCs w:val="32"/>
          <w:lang w:val="en-US" w:eastAsia="zh-CN"/>
        </w:rPr>
      </w:pPr>
      <w:r>
        <w:rPr>
          <w:rFonts w:hint="eastAsia" w:ascii="宋体" w:hAnsi="宋体" w:eastAsia="仿宋_GB2312" w:cs="宋体"/>
          <w:b/>
          <w:bCs/>
          <w:color w:val="auto"/>
          <w:spacing w:val="0"/>
          <w:sz w:val="32"/>
          <w:szCs w:val="32"/>
          <w:lang w:val="en-US" w:eastAsia="zh-CN"/>
        </w:rPr>
        <w:t>（六）创新人才资助项目</w:t>
      </w:r>
      <w:r>
        <w:rPr>
          <w:rFonts w:hint="eastAsia" w:ascii="宋体" w:hAnsi="宋体" w:eastAsia="仿宋_GB2312" w:cs="宋体"/>
          <w:b w:val="0"/>
          <w:bCs w:val="0"/>
          <w:color w:val="auto"/>
          <w:spacing w:val="0"/>
          <w:sz w:val="32"/>
          <w:szCs w:val="32"/>
          <w:lang w:val="en-US" w:eastAsia="zh-CN"/>
        </w:rPr>
        <w:t>（《若干政策》第十二条）</w:t>
      </w:r>
    </w:p>
    <w:p w14:paraId="1EAC476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宋体" w:hAnsi="宋体" w:eastAsia="仿宋_GB2312" w:cs="宋体"/>
          <w:color w:val="auto"/>
          <w:sz w:val="32"/>
          <w:szCs w:val="32"/>
          <w:lang w:val="en-US" w:eastAsia="zh-CN"/>
        </w:rPr>
      </w:pPr>
      <w:r>
        <w:rPr>
          <w:rFonts w:hint="eastAsia" w:ascii="宋体" w:hAnsi="宋体" w:eastAsia="仿宋_GB2312" w:cs="宋体"/>
          <w:b/>
          <w:bCs/>
          <w:color w:val="auto"/>
          <w:sz w:val="32"/>
          <w:szCs w:val="32"/>
          <w:lang w:val="en-US" w:eastAsia="zh-CN"/>
        </w:rPr>
        <w:t>1.支持对象：</w:t>
      </w:r>
      <w:r>
        <w:rPr>
          <w:rFonts w:hint="eastAsia" w:ascii="宋体" w:hAnsi="宋体" w:eastAsia="仿宋_GB2312" w:cs="宋体"/>
          <w:color w:val="auto"/>
          <w:sz w:val="32"/>
          <w:szCs w:val="32"/>
          <w:lang w:val="en-US" w:eastAsia="zh-CN"/>
        </w:rPr>
        <w:t>申报单位引聘的“科技副总”、外国高端人才和专业人才。</w:t>
      </w:r>
    </w:p>
    <w:p w14:paraId="3E92214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宋体" w:hAnsi="宋体" w:eastAsia="仿宋_GB2312" w:cs="宋体"/>
          <w:color w:val="auto"/>
          <w:sz w:val="32"/>
          <w:szCs w:val="32"/>
          <w:lang w:val="en-US" w:eastAsia="zh-CN"/>
        </w:rPr>
      </w:pPr>
      <w:r>
        <w:rPr>
          <w:rFonts w:hint="eastAsia" w:ascii="宋体" w:hAnsi="宋体" w:eastAsia="仿宋_GB2312" w:cs="宋体"/>
          <w:b/>
          <w:bCs/>
          <w:color w:val="auto"/>
          <w:sz w:val="32"/>
          <w:szCs w:val="32"/>
          <w:lang w:val="en-US" w:eastAsia="zh-CN"/>
        </w:rPr>
        <w:t>2.支持方式：</w:t>
      </w:r>
      <w:r>
        <w:rPr>
          <w:rFonts w:hint="eastAsia" w:ascii="宋体" w:hAnsi="宋体" w:eastAsia="仿宋_GB2312" w:cs="宋体"/>
          <w:color w:val="auto"/>
          <w:sz w:val="32"/>
          <w:szCs w:val="32"/>
          <w:lang w:val="en-US" w:eastAsia="zh-CN"/>
        </w:rPr>
        <w:t>事后资助。属核准类项目。</w:t>
      </w:r>
    </w:p>
    <w:p w14:paraId="2A64163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宋体" w:hAnsi="宋体" w:eastAsia="仿宋_GB2312" w:cs="宋体"/>
          <w:color w:val="auto"/>
          <w:sz w:val="32"/>
          <w:szCs w:val="32"/>
          <w:highlight w:val="none"/>
          <w:lang w:val="en-US" w:eastAsia="zh-CN"/>
        </w:rPr>
      </w:pPr>
      <w:r>
        <w:rPr>
          <w:rFonts w:hint="eastAsia" w:ascii="宋体" w:hAnsi="宋体" w:eastAsia="仿宋_GB2312" w:cs="宋体"/>
          <w:b/>
          <w:bCs/>
          <w:color w:val="auto"/>
          <w:sz w:val="32"/>
          <w:szCs w:val="32"/>
          <w:lang w:val="en-US" w:eastAsia="zh-CN"/>
        </w:rPr>
        <w:t>3.支持标准：</w:t>
      </w:r>
      <w:r>
        <w:rPr>
          <w:rFonts w:hint="eastAsia" w:ascii="宋体" w:hAnsi="宋体" w:eastAsia="仿宋_GB2312" w:cs="宋体"/>
          <w:color w:val="auto"/>
          <w:sz w:val="32"/>
          <w:szCs w:val="32"/>
          <w:highlight w:val="none"/>
          <w:lang w:val="en-US" w:eastAsia="zh-CN"/>
        </w:rPr>
        <w:t>加大创新引才力度。鼓励通过面向社会或行业公开遴选“科技副总”，对经江西省、赣州市认定聘用的“科技副总”，由市财政给予每人每年3万元经费补贴，补贴发放与实际履职成效挂钩。鼓励引进外国高端人才和专业人才，每成功引进一名外国高端人才和专业人才，由市财政给予引进单位每年1万元补助。</w:t>
      </w:r>
    </w:p>
    <w:p w14:paraId="4C04C99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宋体" w:hAnsi="宋体" w:eastAsia="仿宋_GB2312" w:cs="宋体"/>
          <w:b/>
          <w:bCs/>
          <w:color w:val="auto"/>
          <w:sz w:val="32"/>
          <w:szCs w:val="32"/>
          <w:lang w:val="en-US" w:eastAsia="zh-CN"/>
        </w:rPr>
      </w:pPr>
      <w:r>
        <w:rPr>
          <w:rFonts w:hint="eastAsia" w:ascii="宋体" w:hAnsi="宋体" w:eastAsia="仿宋_GB2312" w:cs="宋体"/>
          <w:b/>
          <w:bCs/>
          <w:color w:val="auto"/>
          <w:sz w:val="32"/>
          <w:szCs w:val="32"/>
          <w:lang w:val="en-US" w:eastAsia="zh-CN"/>
        </w:rPr>
        <w:t>4.申报条件：</w:t>
      </w:r>
    </w:p>
    <w:p w14:paraId="0F06C83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_GB2312" w:cs="宋体"/>
          <w:color w:val="auto"/>
          <w:sz w:val="32"/>
          <w:szCs w:val="32"/>
          <w:highlight w:val="none"/>
          <w:lang w:val="en-US" w:eastAsia="zh-CN"/>
        </w:rPr>
      </w:pPr>
      <w:r>
        <w:rPr>
          <w:rFonts w:hint="eastAsia" w:ascii="宋体" w:hAnsi="宋体" w:eastAsia="仿宋_GB2312" w:cs="宋体"/>
          <w:color w:val="auto"/>
          <w:sz w:val="32"/>
          <w:szCs w:val="32"/>
          <w:highlight w:val="none"/>
          <w:lang w:val="en-US" w:eastAsia="zh-CN"/>
        </w:rPr>
        <w:t>（1）“科技副总”：为2025年7月1日以后新增引聘的“科技副总”，时间以认定或批复文件落款时间为准。政策兑现时需将“科技副总”合作协议、相关服务成效佐证材料等一并提交。</w:t>
      </w:r>
    </w:p>
    <w:p w14:paraId="5DCD760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_GB2312" w:cs="宋体"/>
          <w:color w:val="auto"/>
          <w:sz w:val="32"/>
          <w:szCs w:val="32"/>
          <w:highlight w:val="none"/>
          <w:lang w:val="en-US" w:eastAsia="zh-CN"/>
        </w:rPr>
      </w:pPr>
      <w:r>
        <w:rPr>
          <w:rFonts w:hint="eastAsia" w:ascii="宋体" w:hAnsi="宋体" w:eastAsia="仿宋_GB2312" w:cs="宋体"/>
          <w:color w:val="auto"/>
          <w:sz w:val="32"/>
          <w:szCs w:val="32"/>
          <w:highlight w:val="none"/>
          <w:lang w:val="en-US" w:eastAsia="zh-CN"/>
        </w:rPr>
        <w:t>（2）外国高端人才和专业人才：①外国高端人才和专业人才工作许可证落地在龙南，引进到岗后在市科技局备案。②每年12月31日，工作许可证仍在有效期内且在职在岗。政策兑现时需将工作许可证及护照复印件、用人单位工资发放表等一并提交。</w:t>
      </w:r>
    </w:p>
    <w:p w14:paraId="466295D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仿宋_GB2312" w:cs="宋体"/>
          <w:color w:val="auto"/>
          <w:sz w:val="32"/>
          <w:szCs w:val="32"/>
          <w:highlight w:val="none"/>
          <w:lang w:val="en-US" w:eastAsia="zh-CN"/>
        </w:rPr>
      </w:pPr>
      <w:r>
        <w:rPr>
          <w:rFonts w:hint="eastAsia" w:ascii="宋体" w:hAnsi="宋体" w:eastAsia="仿宋_GB2312" w:cs="宋体"/>
          <w:color w:val="auto"/>
          <w:sz w:val="32"/>
          <w:szCs w:val="32"/>
          <w:highlight w:val="none"/>
          <w:lang w:val="en-US" w:eastAsia="zh-CN"/>
        </w:rPr>
        <w:t>5.业务咨询：成果人才股曾春燕19070635913。</w:t>
      </w:r>
    </w:p>
    <w:p w14:paraId="4F3C7B59">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仿宋_GB2312" w:cs="宋体"/>
          <w:b w:val="0"/>
          <w:bCs w:val="0"/>
          <w:color w:val="auto"/>
          <w:spacing w:val="0"/>
          <w:sz w:val="32"/>
          <w:szCs w:val="32"/>
          <w:lang w:val="en-US" w:eastAsia="zh-CN"/>
        </w:rPr>
      </w:pPr>
      <w:r>
        <w:rPr>
          <w:rFonts w:hint="eastAsia" w:ascii="宋体" w:hAnsi="宋体" w:eastAsia="仿宋_GB2312" w:cs="宋体"/>
          <w:b/>
          <w:bCs/>
          <w:color w:val="auto"/>
          <w:spacing w:val="0"/>
          <w:sz w:val="32"/>
          <w:szCs w:val="32"/>
          <w:lang w:val="en-US" w:eastAsia="zh-CN"/>
        </w:rPr>
        <w:t>（七）科技成果培育资助项目</w:t>
      </w:r>
      <w:r>
        <w:rPr>
          <w:rFonts w:hint="eastAsia" w:ascii="宋体" w:hAnsi="宋体" w:eastAsia="仿宋_GB2312" w:cs="宋体"/>
          <w:b w:val="0"/>
          <w:bCs w:val="0"/>
          <w:color w:val="auto"/>
          <w:spacing w:val="0"/>
          <w:sz w:val="32"/>
          <w:szCs w:val="32"/>
          <w:lang w:val="en-US" w:eastAsia="zh-CN"/>
        </w:rPr>
        <w:t>（《若干政策》第十三条）</w:t>
      </w:r>
    </w:p>
    <w:p w14:paraId="2E680830">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ascii="宋体" w:hAnsi="宋体" w:cs="宋体"/>
          <w:color w:val="auto"/>
          <w:sz w:val="32"/>
          <w:szCs w:val="32"/>
        </w:rPr>
      </w:pPr>
      <w:r>
        <w:rPr>
          <w:rFonts w:ascii="宋体" w:hAnsi="宋体" w:eastAsia="仿宋_GB2312" w:cs="宋体"/>
          <w:b/>
          <w:bCs/>
          <w:color w:val="auto"/>
          <w:kern w:val="0"/>
          <w:sz w:val="32"/>
          <w:szCs w:val="32"/>
          <w:lang w:val="en-US" w:eastAsia="zh-CN" w:bidi="ar"/>
        </w:rPr>
        <w:t>1.支持对象：</w:t>
      </w:r>
      <w:r>
        <w:rPr>
          <w:rFonts w:ascii="宋体" w:hAnsi="宋体" w:eastAsia="仿宋_GB2312" w:cs="宋体"/>
          <w:color w:val="auto"/>
          <w:kern w:val="0"/>
          <w:sz w:val="32"/>
          <w:szCs w:val="32"/>
          <w:lang w:val="en-US" w:eastAsia="zh-CN" w:bidi="ar"/>
        </w:rPr>
        <w:t>科技奖项获奖</w:t>
      </w:r>
      <w:r>
        <w:rPr>
          <w:rFonts w:hint="eastAsia" w:ascii="宋体" w:hAnsi="宋体" w:eastAsia="仿宋_GB2312" w:cs="宋体"/>
          <w:color w:val="auto"/>
          <w:kern w:val="0"/>
          <w:sz w:val="32"/>
          <w:szCs w:val="32"/>
          <w:lang w:val="en-US" w:eastAsia="zh-CN" w:bidi="ar"/>
        </w:rPr>
        <w:t>单位及科技成果登记单位</w:t>
      </w:r>
      <w:r>
        <w:rPr>
          <w:rFonts w:ascii="宋体" w:hAnsi="宋体" w:eastAsia="仿宋_GB2312" w:cs="宋体"/>
          <w:color w:val="auto"/>
          <w:kern w:val="0"/>
          <w:sz w:val="32"/>
          <w:szCs w:val="32"/>
          <w:lang w:val="en-US" w:eastAsia="zh-CN" w:bidi="ar"/>
        </w:rPr>
        <w:t>。</w:t>
      </w:r>
    </w:p>
    <w:p w14:paraId="22C38E49">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ascii="宋体" w:hAnsi="宋体" w:cs="宋体"/>
          <w:color w:val="auto"/>
          <w:sz w:val="32"/>
          <w:szCs w:val="32"/>
        </w:rPr>
      </w:pPr>
      <w:r>
        <w:rPr>
          <w:rFonts w:hint="eastAsia" w:ascii="宋体" w:hAnsi="宋体" w:eastAsia="仿宋_GB2312" w:cs="宋体"/>
          <w:b/>
          <w:bCs/>
          <w:color w:val="auto"/>
          <w:kern w:val="0"/>
          <w:sz w:val="32"/>
          <w:szCs w:val="32"/>
          <w:lang w:val="en-US" w:eastAsia="zh-CN" w:bidi="ar"/>
        </w:rPr>
        <w:t>2.支持方式：</w:t>
      </w:r>
      <w:r>
        <w:rPr>
          <w:rFonts w:hint="eastAsia" w:ascii="宋体" w:hAnsi="宋体" w:eastAsia="仿宋_GB2312" w:cs="宋体"/>
          <w:color w:val="auto"/>
          <w:kern w:val="0"/>
          <w:sz w:val="32"/>
          <w:szCs w:val="32"/>
          <w:lang w:val="en-US" w:eastAsia="zh-CN" w:bidi="ar"/>
        </w:rPr>
        <w:t>事后资助，属核准类项目。</w:t>
      </w:r>
    </w:p>
    <w:p w14:paraId="08A07178">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default" w:ascii="宋体" w:hAnsi="宋体" w:cs="宋体"/>
          <w:color w:val="auto"/>
          <w:sz w:val="32"/>
          <w:szCs w:val="32"/>
          <w:lang w:val="en-US"/>
        </w:rPr>
      </w:pPr>
      <w:r>
        <w:rPr>
          <w:rFonts w:hint="eastAsia" w:ascii="宋体" w:hAnsi="宋体" w:eastAsia="仿宋_GB2312" w:cs="宋体"/>
          <w:b/>
          <w:bCs/>
          <w:color w:val="auto"/>
          <w:sz w:val="32"/>
          <w:szCs w:val="32"/>
          <w:lang w:val="en-US" w:eastAsia="zh-CN"/>
        </w:rPr>
        <w:t>3.支持标准：</w:t>
      </w:r>
      <w:r>
        <w:rPr>
          <w:rFonts w:hint="eastAsia" w:ascii="宋体" w:hAnsi="宋体" w:eastAsia="仿宋_GB2312" w:cs="宋体"/>
          <w:color w:val="auto"/>
          <w:kern w:val="0"/>
          <w:sz w:val="32"/>
          <w:szCs w:val="32"/>
          <w:lang w:val="en-US" w:eastAsia="zh-CN" w:bidi="ar"/>
        </w:rPr>
        <w:t>鼓励科技成果培育。辖区内企业作为第一完成单位获得国家科学技术奖励证书的，每张奖励180万元，作为第一完成单位获得江西省科学技术奖特等、一等、二等奖励证书的，每张分别奖励30万元、15万元、6万元；作为其他完成单位获得国家科学技术奖或江西省科学技术奖特等、江西省科学技术奖一等、江西省科学技术奖二等奖励证书的每张证书奖励5万元、3万元、1万元。对成功办理国家级、省级科技成果登记的企业，每项给予1.5万元奖励（每家企业每年最高奖励5项），对成果评价处于国际领先、国内领先、省内领先地位的登记成果，每项分别再奖励5万元、3万元、1万元。</w:t>
      </w:r>
    </w:p>
    <w:p w14:paraId="774040EE">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ascii="宋体" w:hAnsi="宋体" w:cs="宋体"/>
          <w:color w:val="auto"/>
          <w:sz w:val="32"/>
          <w:szCs w:val="32"/>
        </w:rPr>
      </w:pPr>
      <w:r>
        <w:rPr>
          <w:rFonts w:ascii="宋体" w:hAnsi="宋体" w:eastAsia="仿宋_GB2312" w:cs="宋体"/>
          <w:b/>
          <w:bCs/>
          <w:color w:val="auto"/>
          <w:kern w:val="0"/>
          <w:sz w:val="32"/>
          <w:szCs w:val="32"/>
          <w:lang w:val="en-US" w:eastAsia="zh-CN" w:bidi="ar"/>
        </w:rPr>
        <w:t>4.申报条件：</w:t>
      </w:r>
      <w:r>
        <w:rPr>
          <w:rFonts w:ascii="宋体" w:hAnsi="宋体" w:eastAsia="仿宋_GB2312" w:cs="宋体"/>
          <w:color w:val="auto"/>
          <w:kern w:val="0"/>
          <w:sz w:val="32"/>
          <w:szCs w:val="32"/>
          <w:lang w:val="en-US" w:eastAsia="zh-CN" w:bidi="ar"/>
        </w:rPr>
        <w:t xml:space="preserve"> </w:t>
      </w:r>
    </w:p>
    <w:p w14:paraId="7CC6DCB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宋体" w:hAnsi="宋体" w:eastAsia="仿宋_GB2312" w:cs="宋体"/>
          <w:color w:val="auto"/>
          <w:sz w:val="32"/>
          <w:szCs w:val="32"/>
          <w:highlight w:val="none"/>
          <w:lang w:val="en-US" w:eastAsia="zh-CN"/>
        </w:rPr>
      </w:pPr>
      <w:r>
        <w:rPr>
          <w:rFonts w:hint="eastAsia" w:ascii="宋体" w:hAnsi="宋体" w:eastAsia="仿宋_GB2312" w:cs="宋体"/>
          <w:color w:val="auto"/>
          <w:sz w:val="32"/>
          <w:szCs w:val="32"/>
          <w:highlight w:val="none"/>
          <w:lang w:val="en-US" w:eastAsia="zh-CN"/>
        </w:rPr>
        <w:t>（1）科学技术奖励：①申报单位应在2025年7月1日以后获得国家和省级科技奖项，时间以国务院发布的年度国家科学技术奖励决定、江西省政府发布的年度江西省科学技术奖励通报落款时间为准。政策兑现时需将相应奖励证书一并提交。②同一项目获得国家和省级科技奖项的，按照最高奖励金额给予奖励；属于合作完成的获奖项目，按照完成单位分别兑现。③申报单位在龙南市从事经营活动时间应在申报奖项之前。</w:t>
      </w:r>
    </w:p>
    <w:p w14:paraId="6E19370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宋体" w:hAnsi="宋体" w:eastAsia="仿宋_GB2312" w:cs="宋体"/>
          <w:color w:val="auto"/>
          <w:sz w:val="32"/>
          <w:szCs w:val="32"/>
          <w:highlight w:val="none"/>
          <w:lang w:val="en-US" w:eastAsia="zh-CN"/>
        </w:rPr>
      </w:pPr>
      <w:r>
        <w:rPr>
          <w:rFonts w:hint="eastAsia" w:ascii="宋体" w:hAnsi="宋体" w:eastAsia="仿宋_GB2312" w:cs="宋体"/>
          <w:color w:val="auto"/>
          <w:sz w:val="32"/>
          <w:szCs w:val="32"/>
          <w:highlight w:val="none"/>
          <w:lang w:val="en-US" w:eastAsia="zh-CN"/>
        </w:rPr>
        <w:t>（2）科技成果登记：①属于成果登记奖励的，申报单位应提供2025年7月1日以后获得的国家或江西省成果登记证书，时间以成果登记证书落款时间为准。②属于成果评价奖励的，该成果须已完成科技成果登记，并提供2025年7月1日以后获得的成果评价报告，时间以成果评价报告落款时间为准。</w:t>
      </w:r>
    </w:p>
    <w:p w14:paraId="27873C2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宋体" w:hAnsi="宋体" w:cs="宋体"/>
          <w:color w:val="auto"/>
        </w:rPr>
      </w:pPr>
      <w:r>
        <w:rPr>
          <w:rFonts w:hint="eastAsia" w:ascii="宋体" w:hAnsi="宋体" w:eastAsia="仿宋_GB2312" w:cs="宋体"/>
          <w:color w:val="auto"/>
          <w:sz w:val="32"/>
          <w:szCs w:val="32"/>
          <w:highlight w:val="none"/>
          <w:lang w:val="en-US" w:eastAsia="zh-CN"/>
        </w:rPr>
        <w:t>5.业务咨询：成果人才股曾春燕19070635913。</w:t>
      </w:r>
    </w:p>
    <w:p w14:paraId="4C5D504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仿宋_GB2312" w:cs="宋体"/>
          <w:color w:val="auto"/>
          <w:sz w:val="32"/>
          <w:szCs w:val="32"/>
          <w:lang w:val="en-US" w:eastAsia="zh-CN"/>
        </w:rPr>
      </w:pPr>
    </w:p>
    <w:p w14:paraId="50E448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cs="宋体"/>
          <w:color w:val="auto"/>
          <w:sz w:val="32"/>
          <w:szCs w:val="32"/>
          <w:lang w:val="en-US" w:eastAsia="zh-CN"/>
        </w:rPr>
      </w:pPr>
    </w:p>
    <w:p w14:paraId="4C58F0C4">
      <w:pPr>
        <w:keepNext w:val="0"/>
        <w:keepLines w:val="0"/>
        <w:pageBreakBefore w:val="0"/>
        <w:widowControl w:val="0"/>
        <w:kinsoku/>
        <w:wordWrap/>
        <w:overflowPunct/>
        <w:topLinePunct w:val="0"/>
        <w:autoSpaceDE/>
        <w:autoSpaceDN/>
        <w:bidi w:val="0"/>
        <w:adjustRightInd/>
        <w:snapToGrid/>
        <w:spacing w:line="560" w:lineRule="exact"/>
        <w:ind w:left="1598" w:leftChars="304" w:hanging="960" w:hangingChars="300"/>
        <w:textAlignment w:val="auto"/>
        <w:rPr>
          <w:rFonts w:hint="eastAsia" w:ascii="宋体" w:hAnsi="宋体" w:cs="宋体"/>
          <w:lang w:val="en-US" w:eastAsia="zh-CN"/>
        </w:rPr>
      </w:pPr>
      <w:r>
        <w:rPr>
          <w:rFonts w:hint="eastAsia" w:ascii="宋体" w:hAnsi="宋体" w:eastAsia="仿宋_GB2312" w:cs="宋体"/>
          <w:color w:val="auto"/>
          <w:sz w:val="32"/>
          <w:szCs w:val="32"/>
          <w:lang w:val="en-US" w:eastAsia="zh-CN"/>
        </w:rPr>
        <w:t>附件：龙南支持工业企业发展若干政策“加快企业创新升级”部分惠企资金兑现流程</w:t>
      </w:r>
      <w:bookmarkStart w:id="0" w:name="_GoBack"/>
      <w:bookmarkEnd w:id="0"/>
    </w:p>
    <w:p w14:paraId="2E9F7018">
      <w:pPr>
        <w:keepNext w:val="0"/>
        <w:keepLines w:val="0"/>
        <w:pageBreakBefore w:val="0"/>
        <w:kinsoku/>
        <w:wordWrap/>
        <w:topLinePunct w:val="0"/>
        <w:autoSpaceDE/>
        <w:autoSpaceDN/>
        <w:bidi w:val="0"/>
        <w:spacing w:line="580" w:lineRule="exact"/>
        <w:textAlignment w:val="auto"/>
        <w:rPr>
          <w:rFonts w:hint="eastAsia" w:ascii="宋体" w:hAnsi="宋体" w:eastAsia="黑体" w:cs="宋体"/>
          <w:sz w:val="32"/>
          <w:szCs w:val="32"/>
          <w:lang w:val="en-US" w:eastAsia="zh-CN"/>
        </w:rPr>
      </w:pPr>
      <w:r>
        <w:rPr>
          <w:rFonts w:hint="eastAsia" w:ascii="宋体" w:hAnsi="宋体" w:eastAsia="黑体" w:cs="宋体"/>
          <w:sz w:val="32"/>
          <w:szCs w:val="32"/>
          <w:lang w:val="en-US" w:eastAsia="zh-CN"/>
        </w:rPr>
        <w:t>附件</w:t>
      </w:r>
    </w:p>
    <w:p w14:paraId="52E31918">
      <w:pPr>
        <w:keepNext w:val="0"/>
        <w:keepLines w:val="0"/>
        <w:pageBreakBefore w:val="0"/>
        <w:kinsoku/>
        <w:wordWrap/>
        <w:topLinePunct w:val="0"/>
        <w:autoSpaceDE/>
        <w:autoSpaceDN/>
        <w:bidi w:val="0"/>
        <w:spacing w:line="580" w:lineRule="exact"/>
        <w:textAlignment w:val="auto"/>
        <w:rPr>
          <w:rFonts w:hint="eastAsia" w:ascii="宋体" w:hAnsi="宋体" w:cs="宋体"/>
          <w:lang w:val="en-US" w:eastAsia="zh-CN"/>
        </w:rPr>
      </w:pPr>
    </w:p>
    <w:p w14:paraId="4434B174">
      <w:pPr>
        <w:keepNext w:val="0"/>
        <w:keepLines w:val="0"/>
        <w:pageBreakBefore w:val="0"/>
        <w:kinsoku/>
        <w:wordWrap/>
        <w:topLinePunct w:val="0"/>
        <w:autoSpaceDE/>
        <w:autoSpaceDN/>
        <w:bidi w:val="0"/>
        <w:spacing w:line="580" w:lineRule="exact"/>
        <w:jc w:val="center"/>
        <w:textAlignment w:val="auto"/>
        <w:rPr>
          <w:rFonts w:hint="eastAsia" w:ascii="宋体" w:hAnsi="宋体" w:eastAsia="方正小标宋简体" w:cs="宋体"/>
          <w:sz w:val="44"/>
          <w:szCs w:val="44"/>
          <w:lang w:val="en-US" w:eastAsia="zh-CN"/>
        </w:rPr>
      </w:pPr>
      <w:r>
        <w:rPr>
          <w:rFonts w:hint="eastAsia" w:ascii="宋体" w:hAnsi="宋体" w:eastAsia="方正小标宋简体" w:cs="宋体"/>
          <w:sz w:val="44"/>
          <w:szCs w:val="44"/>
          <w:lang w:val="en-US" w:eastAsia="zh-CN"/>
        </w:rPr>
        <w:t>龙南支持工业企业发展若干政策“加快企业创新升级”部分惠企资金兑现流程</w:t>
      </w:r>
    </w:p>
    <w:p w14:paraId="606AC41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仿宋_GB2312" w:cs="宋体"/>
          <w:sz w:val="32"/>
          <w:szCs w:val="32"/>
          <w:lang w:val="en-US" w:eastAsia="zh-CN"/>
        </w:rPr>
      </w:pPr>
      <w:r>
        <w:rPr>
          <w:rFonts w:hint="eastAsia" w:ascii="宋体" w:hAnsi="宋体" w:eastAsia="仿宋_GB2312" w:cs="宋体"/>
          <w:sz w:val="32"/>
          <w:szCs w:val="32"/>
          <w:lang w:val="en-US" w:eastAsia="zh-CN"/>
        </w:rPr>
        <w:t xml:space="preserve">本流程适用于《龙南支持工业企业发展若干政策（2025年修订版）》第二部分“加快企业创新升级”规定的以市科技局牵头组织的相关项目资金兑现。 </w:t>
      </w:r>
    </w:p>
    <w:p w14:paraId="55B3A93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仿宋_GB2312" w:cs="宋体"/>
          <w:sz w:val="32"/>
          <w:szCs w:val="32"/>
          <w:lang w:val="en-US" w:eastAsia="zh-CN"/>
        </w:rPr>
      </w:pPr>
    </w:p>
    <w:tbl>
      <w:tblPr>
        <w:tblStyle w:val="8"/>
        <w:tblW w:w="91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8"/>
        <w:gridCol w:w="7861"/>
      </w:tblGrid>
      <w:tr w14:paraId="5B9DD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338" w:type="dxa"/>
          </w:tcPr>
          <w:p w14:paraId="54410A9D">
            <w:pPr>
              <w:keepNext w:val="0"/>
              <w:keepLines w:val="0"/>
              <w:pageBreakBefore w:val="0"/>
              <w:kinsoku/>
              <w:wordWrap/>
              <w:topLinePunct w:val="0"/>
              <w:autoSpaceDE/>
              <w:autoSpaceDN/>
              <w:bidi w:val="0"/>
              <w:spacing w:line="580" w:lineRule="exact"/>
              <w:textAlignment w:val="auto"/>
              <w:rPr>
                <w:rFonts w:hint="default" w:ascii="宋体" w:hAnsi="宋体" w:eastAsia="仿宋_GB2312" w:cs="宋体"/>
                <w:b/>
                <w:bCs/>
                <w:sz w:val="28"/>
                <w:szCs w:val="28"/>
                <w:vertAlign w:val="baseline"/>
                <w:lang w:val="en-US" w:eastAsia="zh-CN"/>
              </w:rPr>
            </w:pPr>
            <w:r>
              <w:rPr>
                <w:rFonts w:hint="eastAsia" w:ascii="宋体" w:hAnsi="宋体" w:eastAsia="仿宋_GB2312" w:cs="宋体"/>
                <w:b/>
                <w:bCs/>
                <w:sz w:val="28"/>
                <w:szCs w:val="28"/>
                <w:vertAlign w:val="baseline"/>
                <w:lang w:val="en-US" w:eastAsia="zh-CN"/>
              </w:rPr>
              <w:t>步骤1：</w:t>
            </w:r>
          </w:p>
        </w:tc>
        <w:tc>
          <w:tcPr>
            <w:tcW w:w="7861" w:type="dxa"/>
          </w:tcPr>
          <w:p w14:paraId="21829D6B">
            <w:pPr>
              <w:keepNext w:val="0"/>
              <w:keepLines w:val="0"/>
              <w:pageBreakBefore w:val="0"/>
              <w:kinsoku/>
              <w:wordWrap/>
              <w:topLinePunct w:val="0"/>
              <w:autoSpaceDE/>
              <w:autoSpaceDN/>
              <w:bidi w:val="0"/>
              <w:spacing w:line="580" w:lineRule="exact"/>
              <w:textAlignment w:val="auto"/>
              <w:rPr>
                <w:rFonts w:hint="default" w:ascii="宋体" w:hAnsi="宋体" w:eastAsia="仿宋_GB2312" w:cs="宋体"/>
                <w:sz w:val="28"/>
                <w:szCs w:val="28"/>
                <w:vertAlign w:val="baseline"/>
                <w:lang w:val="en-US" w:eastAsia="zh-CN"/>
              </w:rPr>
            </w:pPr>
            <w:r>
              <w:rPr>
                <w:rFonts w:hint="eastAsia" w:ascii="宋体" w:hAnsi="宋体" w:eastAsia="仿宋_GB2312" w:cs="宋体"/>
                <w:sz w:val="28"/>
                <w:szCs w:val="28"/>
                <w:vertAlign w:val="baseline"/>
                <w:lang w:val="en-US" w:eastAsia="zh-CN"/>
              </w:rPr>
              <w:t>市科技局责任股室将兑付申请表、认定文件等兑现材料经分管领导审签后交至规划统筹股，规划统筹股按规定完成审批后，提请党组会讨论通过；</w:t>
            </w:r>
          </w:p>
        </w:tc>
      </w:tr>
      <w:tr w14:paraId="621DC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338" w:type="dxa"/>
          </w:tcPr>
          <w:p w14:paraId="6A385E93">
            <w:pPr>
              <w:keepNext w:val="0"/>
              <w:keepLines w:val="0"/>
              <w:pageBreakBefore w:val="0"/>
              <w:kinsoku/>
              <w:wordWrap/>
              <w:topLinePunct w:val="0"/>
              <w:autoSpaceDE/>
              <w:autoSpaceDN/>
              <w:bidi w:val="0"/>
              <w:spacing w:line="580" w:lineRule="exact"/>
              <w:textAlignment w:val="auto"/>
              <w:rPr>
                <w:rFonts w:hint="default" w:ascii="宋体" w:hAnsi="宋体" w:eastAsia="仿宋_GB2312" w:cs="宋体"/>
                <w:b/>
                <w:bCs/>
                <w:sz w:val="28"/>
                <w:szCs w:val="28"/>
                <w:vertAlign w:val="baseline"/>
                <w:lang w:val="en-US" w:eastAsia="zh-CN"/>
              </w:rPr>
            </w:pPr>
            <w:r>
              <w:rPr>
                <w:rFonts w:hint="eastAsia" w:ascii="宋体" w:hAnsi="宋体" w:eastAsia="仿宋_GB2312" w:cs="宋体"/>
                <w:b/>
                <w:bCs/>
                <w:sz w:val="28"/>
                <w:szCs w:val="28"/>
                <w:vertAlign w:val="baseline"/>
                <w:lang w:val="en-US" w:eastAsia="zh-CN"/>
              </w:rPr>
              <w:t>步骤2：</w:t>
            </w:r>
          </w:p>
        </w:tc>
        <w:tc>
          <w:tcPr>
            <w:tcW w:w="7861" w:type="dxa"/>
          </w:tcPr>
          <w:p w14:paraId="20C3545B">
            <w:pPr>
              <w:keepNext w:val="0"/>
              <w:keepLines w:val="0"/>
              <w:pageBreakBefore w:val="0"/>
              <w:kinsoku/>
              <w:wordWrap/>
              <w:topLinePunct w:val="0"/>
              <w:autoSpaceDE/>
              <w:autoSpaceDN/>
              <w:bidi w:val="0"/>
              <w:spacing w:line="580" w:lineRule="exact"/>
              <w:textAlignment w:val="auto"/>
              <w:rPr>
                <w:rFonts w:hint="default" w:ascii="宋体" w:hAnsi="宋体" w:eastAsia="仿宋_GB2312" w:cs="宋体"/>
                <w:sz w:val="28"/>
                <w:szCs w:val="28"/>
                <w:vertAlign w:val="baseline"/>
                <w:lang w:val="en-US" w:eastAsia="zh-CN"/>
              </w:rPr>
            </w:pPr>
            <w:r>
              <w:rPr>
                <w:rFonts w:hint="eastAsia" w:ascii="宋体" w:hAnsi="宋体" w:eastAsia="仿宋_GB2312" w:cs="宋体"/>
                <w:sz w:val="28"/>
                <w:szCs w:val="28"/>
                <w:vertAlign w:val="baseline"/>
                <w:lang w:val="en-US" w:eastAsia="zh-CN"/>
              </w:rPr>
              <w:t>征求工信、发改、市监、财政、法院等相关部门意见；</w:t>
            </w:r>
          </w:p>
        </w:tc>
      </w:tr>
      <w:tr w14:paraId="0986E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338" w:type="dxa"/>
          </w:tcPr>
          <w:p w14:paraId="046FE800">
            <w:pPr>
              <w:keepNext w:val="0"/>
              <w:keepLines w:val="0"/>
              <w:pageBreakBefore w:val="0"/>
              <w:kinsoku/>
              <w:wordWrap/>
              <w:topLinePunct w:val="0"/>
              <w:autoSpaceDE/>
              <w:autoSpaceDN/>
              <w:bidi w:val="0"/>
              <w:spacing w:line="580" w:lineRule="exact"/>
              <w:textAlignment w:val="auto"/>
              <w:rPr>
                <w:rFonts w:hint="default" w:ascii="宋体" w:hAnsi="宋体" w:eastAsia="仿宋_GB2312" w:cs="宋体"/>
                <w:b/>
                <w:bCs/>
                <w:sz w:val="28"/>
                <w:szCs w:val="28"/>
                <w:vertAlign w:val="baseline"/>
                <w:lang w:val="en-US" w:eastAsia="zh-CN"/>
              </w:rPr>
            </w:pPr>
            <w:r>
              <w:rPr>
                <w:rFonts w:hint="eastAsia" w:ascii="宋体" w:hAnsi="宋体" w:eastAsia="仿宋_GB2312" w:cs="宋体"/>
                <w:b/>
                <w:bCs/>
                <w:sz w:val="28"/>
                <w:szCs w:val="28"/>
                <w:vertAlign w:val="baseline"/>
                <w:lang w:val="en-US" w:eastAsia="zh-CN"/>
              </w:rPr>
              <w:t>步骤3：</w:t>
            </w:r>
          </w:p>
        </w:tc>
        <w:tc>
          <w:tcPr>
            <w:tcW w:w="7861" w:type="dxa"/>
          </w:tcPr>
          <w:p w14:paraId="0CC0ED88">
            <w:pPr>
              <w:keepNext w:val="0"/>
              <w:keepLines w:val="0"/>
              <w:pageBreakBefore w:val="0"/>
              <w:kinsoku/>
              <w:wordWrap/>
              <w:topLinePunct w:val="0"/>
              <w:autoSpaceDE/>
              <w:autoSpaceDN/>
              <w:bidi w:val="0"/>
              <w:spacing w:line="580" w:lineRule="exact"/>
              <w:textAlignment w:val="auto"/>
              <w:rPr>
                <w:rFonts w:hint="default" w:ascii="宋体" w:hAnsi="宋体" w:eastAsia="仿宋_GB2312" w:cs="宋体"/>
                <w:sz w:val="28"/>
                <w:szCs w:val="28"/>
                <w:vertAlign w:val="baseline"/>
                <w:lang w:val="en-US" w:eastAsia="zh-CN"/>
              </w:rPr>
            </w:pPr>
            <w:r>
              <w:rPr>
                <w:rFonts w:hint="eastAsia" w:ascii="宋体" w:hAnsi="宋体" w:eastAsia="仿宋_GB2312" w:cs="宋体"/>
                <w:sz w:val="28"/>
                <w:szCs w:val="28"/>
                <w:vertAlign w:val="baseline"/>
                <w:lang w:val="en-US" w:eastAsia="zh-CN"/>
              </w:rPr>
              <w:t>将拟兑现名单于政务网站等公告平台公示5个工作日；</w:t>
            </w:r>
          </w:p>
        </w:tc>
      </w:tr>
      <w:tr w14:paraId="3C4F9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338" w:type="dxa"/>
          </w:tcPr>
          <w:p w14:paraId="12CED312">
            <w:pPr>
              <w:keepNext w:val="0"/>
              <w:keepLines w:val="0"/>
              <w:pageBreakBefore w:val="0"/>
              <w:kinsoku/>
              <w:wordWrap/>
              <w:topLinePunct w:val="0"/>
              <w:autoSpaceDE/>
              <w:autoSpaceDN/>
              <w:bidi w:val="0"/>
              <w:spacing w:line="580" w:lineRule="exact"/>
              <w:textAlignment w:val="auto"/>
              <w:rPr>
                <w:rFonts w:hint="default" w:ascii="宋体" w:hAnsi="宋体" w:eastAsia="仿宋_GB2312" w:cs="宋体"/>
                <w:b/>
                <w:bCs/>
                <w:sz w:val="28"/>
                <w:szCs w:val="28"/>
                <w:vertAlign w:val="baseline"/>
                <w:lang w:val="en-US" w:eastAsia="zh-CN"/>
              </w:rPr>
            </w:pPr>
            <w:r>
              <w:rPr>
                <w:rFonts w:hint="eastAsia" w:ascii="宋体" w:hAnsi="宋体" w:eastAsia="仿宋_GB2312" w:cs="宋体"/>
                <w:b/>
                <w:bCs/>
                <w:sz w:val="28"/>
                <w:szCs w:val="28"/>
                <w:vertAlign w:val="baseline"/>
                <w:lang w:val="en-US" w:eastAsia="zh-CN"/>
              </w:rPr>
              <w:t>步骤4：</w:t>
            </w:r>
          </w:p>
        </w:tc>
        <w:tc>
          <w:tcPr>
            <w:tcW w:w="7861" w:type="dxa"/>
          </w:tcPr>
          <w:p w14:paraId="7E383FB0">
            <w:pPr>
              <w:keepNext w:val="0"/>
              <w:keepLines w:val="0"/>
              <w:pageBreakBefore w:val="0"/>
              <w:kinsoku/>
              <w:wordWrap/>
              <w:topLinePunct w:val="0"/>
              <w:autoSpaceDE/>
              <w:autoSpaceDN/>
              <w:bidi w:val="0"/>
              <w:spacing w:line="580" w:lineRule="exact"/>
              <w:textAlignment w:val="auto"/>
              <w:rPr>
                <w:rFonts w:hint="default" w:ascii="宋体" w:hAnsi="宋体" w:eastAsia="仿宋_GB2312" w:cs="宋体"/>
                <w:sz w:val="28"/>
                <w:szCs w:val="28"/>
                <w:vertAlign w:val="baseline"/>
                <w:lang w:val="en-US" w:eastAsia="zh-CN"/>
              </w:rPr>
            </w:pPr>
            <w:r>
              <w:rPr>
                <w:rFonts w:hint="eastAsia" w:ascii="宋体" w:hAnsi="宋体" w:eastAsia="仿宋_GB2312" w:cs="宋体"/>
                <w:sz w:val="28"/>
                <w:szCs w:val="28"/>
                <w:vertAlign w:val="baseline"/>
                <w:lang w:val="en-US" w:eastAsia="zh-CN"/>
              </w:rPr>
              <w:t>将无异议名单提交至市惠企政策兑现工作领导小组办公室申请资金兑现。</w:t>
            </w:r>
          </w:p>
        </w:tc>
      </w:tr>
    </w:tbl>
    <w:p w14:paraId="0FF7BD22">
      <w:pPr>
        <w:keepNext w:val="0"/>
        <w:keepLines w:val="0"/>
        <w:pageBreakBefore w:val="0"/>
        <w:kinsoku/>
        <w:wordWrap/>
        <w:topLinePunct w:val="0"/>
        <w:autoSpaceDE/>
        <w:autoSpaceDN/>
        <w:bidi w:val="0"/>
        <w:spacing w:line="580" w:lineRule="exact"/>
        <w:textAlignment w:val="auto"/>
        <w:rPr>
          <w:rFonts w:hint="eastAsia" w:ascii="宋体" w:hAnsi="宋体" w:eastAsia="仿宋_GB2312" w:cs="宋体"/>
          <w:sz w:val="32"/>
          <w:szCs w:val="32"/>
          <w:lang w:val="en-US" w:eastAsia="zh-CN"/>
        </w:rPr>
      </w:pPr>
    </w:p>
    <w:p w14:paraId="20FCC237">
      <w:pPr>
        <w:keepNext w:val="0"/>
        <w:keepLines w:val="0"/>
        <w:pageBreakBefore w:val="0"/>
        <w:kinsoku/>
        <w:wordWrap/>
        <w:topLinePunct w:val="0"/>
        <w:autoSpaceDE/>
        <w:autoSpaceDN/>
        <w:bidi w:val="0"/>
        <w:spacing w:line="580" w:lineRule="exact"/>
        <w:textAlignment w:val="auto"/>
        <w:rPr>
          <w:rFonts w:ascii="宋体" w:hAnsi="宋体" w:cs="宋体"/>
        </w:rPr>
      </w:pPr>
    </w:p>
    <w:p w14:paraId="579DE1C5">
      <w:pPr>
        <w:keepNext w:val="0"/>
        <w:keepLines w:val="0"/>
        <w:pageBreakBefore w:val="0"/>
        <w:kinsoku/>
        <w:wordWrap/>
        <w:topLinePunct w:val="0"/>
        <w:autoSpaceDE/>
        <w:autoSpaceDN/>
        <w:bidi w:val="0"/>
        <w:spacing w:line="580" w:lineRule="exact"/>
        <w:textAlignment w:val="auto"/>
        <w:rPr>
          <w:rFonts w:ascii="宋体" w:hAnsi="宋体" w:cs="宋体"/>
        </w:rPr>
      </w:pPr>
    </w:p>
    <w:p w14:paraId="05075B87">
      <w:pPr>
        <w:keepNext w:val="0"/>
        <w:keepLines w:val="0"/>
        <w:pageBreakBefore w:val="0"/>
        <w:kinsoku/>
        <w:wordWrap/>
        <w:topLinePunct w:val="0"/>
        <w:autoSpaceDE/>
        <w:autoSpaceDN/>
        <w:bidi w:val="0"/>
        <w:spacing w:line="580" w:lineRule="exact"/>
        <w:textAlignment w:val="auto"/>
        <w:rPr>
          <w:rFonts w:ascii="宋体" w:hAnsi="宋体" w:cs="宋体"/>
        </w:rPr>
      </w:pPr>
    </w:p>
    <w:sectPr>
      <w:footerReference r:id="rId3" w:type="default"/>
      <w:pgSz w:w="11906" w:h="16838"/>
      <w:pgMar w:top="2098" w:right="1587" w:bottom="2098"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B0B32">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-371475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948A91B">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9.25pt;height:144pt;width:144pt;mso-position-horizontal:outside;mso-position-horizontal-relative:margin;mso-wrap-style:none;z-index:251659264;mso-width-relative:page;mso-height-relative:page;" filled="f" stroked="f" coordsize="21600,21600" o:gfxdata="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">
              <v:fill on="f" focussize="0,0"/>
              <v:stroke on="f" weight="0.5pt"/>
              <v:imagedata o:title=""/>
              <o:lock v:ext="edit" aspectratio="f"/>
              <v:textbox inset="0mm,0mm,0mm,0mm" style="mso-fit-shape-to-text:t;">
                <w:txbxContent>
                  <w:p w14:paraId="6948A91B">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4B22CD"/>
    <w:rsid w:val="03FE2AA0"/>
    <w:rsid w:val="04A96068"/>
    <w:rsid w:val="07580B37"/>
    <w:rsid w:val="08275C22"/>
    <w:rsid w:val="08C616D3"/>
    <w:rsid w:val="08F24497"/>
    <w:rsid w:val="0B681803"/>
    <w:rsid w:val="0F072309"/>
    <w:rsid w:val="10630882"/>
    <w:rsid w:val="127E013D"/>
    <w:rsid w:val="12E60488"/>
    <w:rsid w:val="131119A8"/>
    <w:rsid w:val="141112C9"/>
    <w:rsid w:val="173F0C07"/>
    <w:rsid w:val="17853C1F"/>
    <w:rsid w:val="18983811"/>
    <w:rsid w:val="18CE20EA"/>
    <w:rsid w:val="1A831184"/>
    <w:rsid w:val="1BB90E2F"/>
    <w:rsid w:val="21F52068"/>
    <w:rsid w:val="25F17E61"/>
    <w:rsid w:val="2A4D2B4E"/>
    <w:rsid w:val="2B4C75CA"/>
    <w:rsid w:val="2B563FA5"/>
    <w:rsid w:val="2BF31029"/>
    <w:rsid w:val="2C576226"/>
    <w:rsid w:val="2D360531"/>
    <w:rsid w:val="38043E80"/>
    <w:rsid w:val="38D330D8"/>
    <w:rsid w:val="3A451DB4"/>
    <w:rsid w:val="3B603C8D"/>
    <w:rsid w:val="3CFD6401"/>
    <w:rsid w:val="3D6F36D5"/>
    <w:rsid w:val="3EDA165F"/>
    <w:rsid w:val="3FF029B7"/>
    <w:rsid w:val="408732DA"/>
    <w:rsid w:val="42C972FA"/>
    <w:rsid w:val="46162856"/>
    <w:rsid w:val="47EF35EE"/>
    <w:rsid w:val="484B22CD"/>
    <w:rsid w:val="485127AE"/>
    <w:rsid w:val="48AA5EB9"/>
    <w:rsid w:val="494E27C0"/>
    <w:rsid w:val="4A611A34"/>
    <w:rsid w:val="4E8642F1"/>
    <w:rsid w:val="4ECD3CCE"/>
    <w:rsid w:val="50B45146"/>
    <w:rsid w:val="50EC0D83"/>
    <w:rsid w:val="52911BE2"/>
    <w:rsid w:val="555A44E9"/>
    <w:rsid w:val="570B7A8A"/>
    <w:rsid w:val="57A53A3A"/>
    <w:rsid w:val="5875165E"/>
    <w:rsid w:val="5943175D"/>
    <w:rsid w:val="597C7015"/>
    <w:rsid w:val="597D4C6F"/>
    <w:rsid w:val="5A9866CB"/>
    <w:rsid w:val="5B3E3A75"/>
    <w:rsid w:val="5B491FB6"/>
    <w:rsid w:val="5C194DDB"/>
    <w:rsid w:val="5CF810C2"/>
    <w:rsid w:val="5E2C6C63"/>
    <w:rsid w:val="61310483"/>
    <w:rsid w:val="64F50241"/>
    <w:rsid w:val="65B57A1A"/>
    <w:rsid w:val="66563569"/>
    <w:rsid w:val="67BA52E0"/>
    <w:rsid w:val="6B2B34E0"/>
    <w:rsid w:val="6CFE7A1D"/>
    <w:rsid w:val="6F057966"/>
    <w:rsid w:val="72A35A87"/>
    <w:rsid w:val="72DF209E"/>
    <w:rsid w:val="73813156"/>
    <w:rsid w:val="74624D35"/>
    <w:rsid w:val="78256BE6"/>
    <w:rsid w:val="79A951B4"/>
    <w:rsid w:val="79D0629D"/>
    <w:rsid w:val="7CF6426C"/>
    <w:rsid w:val="7F6428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line="560" w:lineRule="exact"/>
    </w:pPr>
    <w:rPr>
      <w:rFonts w:eastAsia="仿宋_GB2312"/>
      <w:sz w:val="32"/>
      <w:szCs w:val="32"/>
    </w:rPr>
  </w:style>
  <w:style w:type="paragraph" w:styleId="3">
    <w:name w:val="Normal Indent"/>
    <w:basedOn w:val="1"/>
    <w:next w:val="1"/>
    <w:qFormat/>
    <w:uiPriority w:val="99"/>
    <w:pPr>
      <w:ind w:firstLine="420" w:firstLineChars="200"/>
    </w:pPr>
    <w:rPr>
      <w:rFonts w:ascii="Calibri" w:hAnsi="Calibri" w:eastAsia="仿宋" w:cs="Arial"/>
      <w:sz w:val="32"/>
      <w:szCs w:val="22"/>
    </w:rPr>
  </w:style>
  <w:style w:type="paragraph" w:styleId="4">
    <w:name w:val="Body Text Indent"/>
    <w:basedOn w:val="1"/>
    <w:next w:val="3"/>
    <w:qFormat/>
    <w:uiPriority w:val="0"/>
    <w:pPr>
      <w:spacing w:after="120"/>
      <w:ind w:left="420" w:leftChars="200"/>
    </w:pPr>
    <w:rPr>
      <w:rFonts w:ascii="Calibri" w:hAnsi="Calibri" w:eastAsia="宋体" w:cs="Times New Roman"/>
      <w:szCs w:val="22"/>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4666</Words>
  <Characters>4924</Characters>
  <Lines>0</Lines>
  <Paragraphs>0</Paragraphs>
  <TotalTime>9</TotalTime>
  <ScaleCrop>false</ScaleCrop>
  <LinksUpToDate>false</LinksUpToDate>
  <CharactersWithSpaces>4949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2025-05-08T08:10:00Z</dcterms:created>
  <dc:creator>qxw</dc:creator>
  <cp:lastModifiedBy>qxw</cp:lastModifiedBy>
  <cp:lastPrinted>2025-07-21T08:32:00Z</cp:lastPrinted>
  <dcterms:modified xsi:type="dcterms:W3CDTF">2025-07-21T09:57:20Z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48E8E0187521412CA7385265C6E6F393_13</vt:lpwstr>
  </property>
  <property fmtid="{D5CDD505-2E9C-101B-9397-08002B2CF9AE}" pid="4" name="KSOTemplateDocerSaveRecord">
    <vt:lpwstr>eyJoZGlkIjoiYWYxMDlhOWIwYjFhMTgyZDQ1NWViYmE5MzQ4ZTIyNDkiLCJ1c2VySWQiOiI2NDk4MDI2MDgifQ==</vt:lpwstr>
  </property>
</Properties>
</file>