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7B279">
      <w:pPr>
        <w:spacing w:line="278" w:lineRule="auto"/>
        <w:rPr>
          <w:rFonts w:ascii="Arial"/>
          <w:sz w:val="21"/>
        </w:rPr>
      </w:pPr>
    </w:p>
    <w:p w14:paraId="28682BA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关于进一步规范被征地农民参加</w:t>
      </w:r>
    </w:p>
    <w:p w14:paraId="77EB749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基本养老保险有关问题的通知</w:t>
      </w:r>
    </w:p>
    <w:p w14:paraId="324A2FB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14:paraId="518C81AC">
      <w:pPr>
        <w:pStyle w:val="2"/>
        <w:keepNext w:val="0"/>
        <w:keepLines w:val="0"/>
        <w:pageBreakBefore w:val="0"/>
        <w:widowControl/>
        <w:kinsoku w:val="0"/>
        <w:wordWrap/>
        <w:overflowPunct/>
        <w:topLinePunct w:val="0"/>
        <w:autoSpaceDE w:val="0"/>
        <w:autoSpaceDN w:val="0"/>
        <w:bidi w:val="0"/>
        <w:adjustRightInd w:val="0"/>
        <w:snapToGrid w:val="0"/>
        <w:spacing w:before="117" w:line="560" w:lineRule="exact"/>
        <w:textAlignment w:val="baseline"/>
        <w:rPr>
          <w:rFonts w:hint="eastAsia" w:ascii="仿宋_GB2312" w:hAnsi="仿宋_GB2312" w:eastAsia="仿宋_GB2312" w:cs="仿宋_GB2312"/>
          <w:spacing w:val="-24"/>
          <w:sz w:val="32"/>
          <w:szCs w:val="32"/>
        </w:rPr>
      </w:pPr>
    </w:p>
    <w:p w14:paraId="63EACC48">
      <w:pPr>
        <w:pStyle w:val="2"/>
        <w:keepNext w:val="0"/>
        <w:keepLines w:val="0"/>
        <w:pageBreakBefore w:val="0"/>
        <w:widowControl/>
        <w:kinsoku w:val="0"/>
        <w:wordWrap/>
        <w:overflowPunct/>
        <w:topLinePunct w:val="0"/>
        <w:autoSpaceDE w:val="0"/>
        <w:autoSpaceDN w:val="0"/>
        <w:bidi w:val="0"/>
        <w:adjustRightInd w:val="0"/>
        <w:snapToGrid w:val="0"/>
        <w:spacing w:before="117" w:line="560" w:lineRule="exact"/>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各乡(镇)人民政府，</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直、驻</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有关单位：</w:t>
      </w:r>
    </w:p>
    <w:p w14:paraId="2045FBDD">
      <w:pPr>
        <w:pStyle w:val="2"/>
        <w:keepNext w:val="0"/>
        <w:keepLines w:val="0"/>
        <w:pageBreakBefore w:val="0"/>
        <w:widowControl/>
        <w:kinsoku w:val="0"/>
        <w:wordWrap/>
        <w:overflowPunct/>
        <w:topLinePunct w:val="0"/>
        <w:autoSpaceDE w:val="0"/>
        <w:autoSpaceDN w:val="0"/>
        <w:bidi w:val="0"/>
        <w:adjustRightInd w:val="0"/>
        <w:snapToGrid w:val="0"/>
        <w:spacing w:before="52" w:line="560" w:lineRule="exact"/>
        <w:ind w:left="9" w:firstLine="65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江西省征收土地管理办法》《江西省人民政府办公厅关于切实做好被征地农民参加基本养老保险相关工作的通知》(赣府厅字〔2022〕56号)、《赣州市人民政府办公室关于进一步规范被征地农民参加基本养老保险有关问题的通知》(赣市府办字〔2023〕100号)及《</w:t>
      </w:r>
      <w:r>
        <w:rPr>
          <w:rFonts w:hint="eastAsia" w:ascii="仿宋_GB2312" w:hAnsi="仿宋_GB2312" w:eastAsia="仿宋_GB2312" w:cs="仿宋_GB2312"/>
          <w:spacing w:val="0"/>
          <w:sz w:val="32"/>
          <w:szCs w:val="32"/>
          <w:lang w:eastAsia="zh-CN"/>
        </w:rPr>
        <w:t>龙南</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rPr>
        <w:t>人民政府</w:t>
      </w:r>
      <w:r>
        <w:rPr>
          <w:rFonts w:hint="eastAsia" w:ascii="仿宋_GB2312" w:hAnsi="仿宋_GB2312" w:eastAsia="仿宋_GB2312" w:cs="仿宋_GB2312"/>
          <w:spacing w:val="0"/>
          <w:sz w:val="32"/>
          <w:szCs w:val="32"/>
          <w:lang w:val="en-US" w:eastAsia="zh-CN"/>
        </w:rPr>
        <w:t>办公室&lt;</w:t>
      </w:r>
      <w:r>
        <w:rPr>
          <w:rFonts w:hint="eastAsia" w:ascii="仿宋_GB2312" w:hAnsi="仿宋_GB2312" w:eastAsia="仿宋_GB2312" w:cs="仿宋_GB2312"/>
          <w:spacing w:val="0"/>
          <w:sz w:val="32"/>
          <w:szCs w:val="32"/>
        </w:rPr>
        <w:t>关于印发</w:t>
      </w:r>
      <w:r>
        <w:rPr>
          <w:rFonts w:hint="eastAsia" w:ascii="仿宋_GB2312" w:hAnsi="仿宋_GB2312" w:eastAsia="仿宋_GB2312" w:cs="仿宋_GB2312"/>
          <w:spacing w:val="0"/>
          <w:sz w:val="32"/>
          <w:szCs w:val="32"/>
          <w:lang w:val="en-US" w:eastAsia="zh-CN"/>
        </w:rPr>
        <w:t>龙南县</w:t>
      </w:r>
      <w:r>
        <w:rPr>
          <w:rFonts w:hint="eastAsia" w:ascii="仿宋_GB2312" w:hAnsi="仿宋_GB2312" w:eastAsia="仿宋_GB2312" w:cs="仿宋_GB2312"/>
          <w:spacing w:val="0"/>
          <w:sz w:val="32"/>
          <w:szCs w:val="32"/>
        </w:rPr>
        <w:t>被征地农民参加基本养老保险实施</w:t>
      </w:r>
      <w:r>
        <w:rPr>
          <w:rFonts w:hint="eastAsia" w:ascii="仿宋_GB2312" w:hAnsi="仿宋_GB2312" w:eastAsia="仿宋_GB2312" w:cs="仿宋_GB2312"/>
          <w:spacing w:val="0"/>
          <w:sz w:val="32"/>
          <w:szCs w:val="32"/>
          <w:lang w:val="en-US" w:eastAsia="zh-CN"/>
        </w:rPr>
        <w:t>细则&gt;</w:t>
      </w:r>
      <w:r>
        <w:rPr>
          <w:rFonts w:hint="eastAsia" w:ascii="仿宋_GB2312" w:hAnsi="仿宋_GB2312" w:eastAsia="仿宋_GB2312" w:cs="仿宋_GB2312"/>
          <w:spacing w:val="0"/>
          <w:sz w:val="32"/>
          <w:szCs w:val="32"/>
        </w:rPr>
        <w:t>的通知》(</w:t>
      </w:r>
      <w:r>
        <w:rPr>
          <w:rFonts w:hint="eastAsia" w:ascii="仿宋_GB2312" w:hAnsi="仿宋_GB2312" w:eastAsia="仿宋_GB2312" w:cs="仿宋_GB2312"/>
          <w:spacing w:val="0"/>
          <w:sz w:val="32"/>
          <w:szCs w:val="32"/>
          <w:lang w:val="en-US" w:eastAsia="zh-CN"/>
        </w:rPr>
        <w:t>龙府办发</w:t>
      </w:r>
      <w:r>
        <w:rPr>
          <w:rFonts w:hint="eastAsia" w:ascii="仿宋_GB2312" w:hAnsi="仿宋_GB2312" w:eastAsia="仿宋_GB2312" w:cs="仿宋_GB2312"/>
          <w:spacing w:val="0"/>
          <w:sz w:val="32"/>
          <w:szCs w:val="32"/>
        </w:rPr>
        <w:t>〔2015〕</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0号)精神，现就进一步规范我</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被征地农民参加基本养老保险有关问题通知如下：</w:t>
      </w:r>
    </w:p>
    <w:p w14:paraId="2FF45F0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8" w:line="560" w:lineRule="exact"/>
        <w:ind w:left="665" w:leftChars="0"/>
        <w:jc w:val="both"/>
        <w:textAlignment w:val="baseline"/>
        <w:outlineLvl w:val="0"/>
        <w:rPr>
          <w:rFonts w:hint="eastAsia" w:ascii="黑体" w:hAnsi="黑体" w:eastAsia="黑体" w:cs="黑体"/>
          <w:b w:val="0"/>
          <w:bCs w:val="0"/>
          <w:spacing w:val="0"/>
          <w:w w:val="97"/>
          <w:sz w:val="32"/>
          <w:szCs w:val="32"/>
        </w:rPr>
      </w:pPr>
      <w:r>
        <w:rPr>
          <w:rFonts w:hint="eastAsia" w:ascii="黑体" w:hAnsi="黑体" w:eastAsia="黑体" w:cs="黑体"/>
          <w:b w:val="0"/>
          <w:bCs w:val="0"/>
          <w:snapToGrid w:val="0"/>
          <w:color w:val="000000"/>
          <w:spacing w:val="0"/>
          <w:w w:val="97"/>
          <w:kern w:val="0"/>
          <w:sz w:val="32"/>
          <w:szCs w:val="32"/>
          <w:lang w:val="en-US" w:eastAsia="en-US" w:bidi="ar-SA"/>
        </w:rPr>
        <w:t>一、</w:t>
      </w:r>
      <w:r>
        <w:rPr>
          <w:rFonts w:hint="eastAsia" w:ascii="黑体" w:hAnsi="黑体" w:eastAsia="黑体" w:cs="黑体"/>
          <w:b w:val="0"/>
          <w:bCs w:val="0"/>
          <w:spacing w:val="0"/>
          <w:w w:val="97"/>
          <w:sz w:val="32"/>
          <w:szCs w:val="32"/>
        </w:rPr>
        <w:t>完善被征地农民参保政策</w:t>
      </w:r>
    </w:p>
    <w:p w14:paraId="0FA2B0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严格落实《江西省征收土地管理办法》和省政府相关法规政策规定，建立被征地农民社会保障制度，按照“谁征地、谁负责”“先保后征”原则，将被征地农民纳入相应的养老等社会保障体系。</w:t>
      </w:r>
    </w:p>
    <w:p w14:paraId="4FB2B655">
      <w:pPr>
        <w:pStyle w:val="2"/>
        <w:keepNext w:val="0"/>
        <w:keepLines w:val="0"/>
        <w:pageBreakBefore w:val="0"/>
        <w:widowControl/>
        <w:kinsoku w:val="0"/>
        <w:wordWrap/>
        <w:overflowPunct/>
        <w:topLinePunct w:val="0"/>
        <w:autoSpaceDE w:val="0"/>
        <w:autoSpaceDN w:val="0"/>
        <w:bidi w:val="0"/>
        <w:adjustRightInd w:val="0"/>
        <w:snapToGrid w:val="0"/>
        <w:spacing w:before="31" w:line="560" w:lineRule="exact"/>
        <w:ind w:right="137" w:firstLine="649"/>
        <w:jc w:val="both"/>
        <w:textAlignment w:val="baseline"/>
        <w:rPr>
          <w:rFonts w:hint="eastAsia" w:ascii="仿宋_GB2312" w:hAnsi="仿宋_GB2312" w:eastAsia="仿宋_GB2312" w:cs="仿宋_GB2312"/>
          <w:spacing w:val="0"/>
          <w:sz w:val="32"/>
          <w:szCs w:val="32"/>
          <w:lang w:val="en-US" w:eastAsia="zh-CN"/>
        </w:rPr>
      </w:pPr>
      <w:r>
        <w:rPr>
          <w:rFonts w:ascii="楷体" w:hAnsi="楷体" w:eastAsia="楷体" w:cs="楷体"/>
          <w:spacing w:val="0"/>
          <w:sz w:val="32"/>
          <w:szCs w:val="32"/>
        </w:rPr>
        <w:t>(一)参保补贴标准。</w:t>
      </w:r>
      <w:r>
        <w:rPr>
          <w:rFonts w:hint="eastAsia" w:ascii="仿宋_GB2312" w:hAnsi="仿宋_GB2312" w:eastAsia="仿宋_GB2312" w:cs="仿宋_GB2312"/>
          <w:spacing w:val="0"/>
          <w:sz w:val="32"/>
          <w:szCs w:val="32"/>
        </w:rPr>
        <w:t>赣府厅字〔2022〕56号文件实施后新认定的被征地农民参保缴费补贴调整为按年核定，补贴年限最多不超过15年。参保缴费年补贴标准为：当年执行的江西省城镇职工基本养老保险使用的全省全口径城镇单位就业人员月平均工资×60%×12%×12(个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逾期申报的扣减相应月数。</w:t>
      </w:r>
    </w:p>
    <w:p w14:paraId="47F6C57C">
      <w:pPr>
        <w:pStyle w:val="2"/>
        <w:keepNext w:val="0"/>
        <w:keepLines w:val="0"/>
        <w:pageBreakBefore w:val="0"/>
        <w:widowControl/>
        <w:kinsoku w:val="0"/>
        <w:wordWrap/>
        <w:overflowPunct/>
        <w:topLinePunct w:val="0"/>
        <w:autoSpaceDE w:val="0"/>
        <w:autoSpaceDN w:val="0"/>
        <w:bidi w:val="0"/>
        <w:adjustRightInd w:val="0"/>
        <w:snapToGrid w:val="0"/>
        <w:spacing w:before="107" w:line="560" w:lineRule="exact"/>
        <w:ind w:right="120" w:firstLine="649"/>
        <w:jc w:val="both"/>
        <w:textAlignment w:val="baseline"/>
        <w:rPr>
          <w:rFonts w:hint="eastAsia" w:ascii="仿宋_GB2312" w:hAnsi="仿宋_GB2312" w:eastAsia="仿宋_GB2312" w:cs="仿宋_GB2312"/>
          <w:spacing w:val="0"/>
          <w:sz w:val="32"/>
          <w:szCs w:val="32"/>
        </w:rPr>
      </w:pPr>
      <w:r>
        <w:rPr>
          <w:rFonts w:ascii="楷体" w:hAnsi="楷体" w:eastAsia="楷体" w:cs="楷体"/>
          <w:spacing w:val="0"/>
          <w:sz w:val="32"/>
          <w:szCs w:val="32"/>
        </w:rPr>
        <w:t>(二)参保补贴期限。</w:t>
      </w:r>
      <w:r>
        <w:rPr>
          <w:rFonts w:hint="eastAsia" w:ascii="仿宋_GB2312" w:hAnsi="仿宋_GB2312" w:eastAsia="仿宋_GB2312" w:cs="仿宋_GB2312"/>
          <w:spacing w:val="0"/>
          <w:sz w:val="32"/>
          <w:szCs w:val="32"/>
        </w:rPr>
        <w:t>被征地农民自认定之日(以被征地农民证书登记的颁发时间为准)起一年内应参加被征地农民基本养老保险，补贴期限最多不超过15年，逾期参保的扣减相应逾期月数缴费补贴，逾期月数为应参保的截止时间至实际缴费时间的间隔月数。</w:t>
      </w:r>
    </w:p>
    <w:p w14:paraId="00FAA5C5">
      <w:pPr>
        <w:pStyle w:val="2"/>
        <w:keepNext w:val="0"/>
        <w:keepLines w:val="0"/>
        <w:pageBreakBefore w:val="0"/>
        <w:widowControl/>
        <w:kinsoku w:val="0"/>
        <w:wordWrap/>
        <w:overflowPunct/>
        <w:topLinePunct w:val="0"/>
        <w:autoSpaceDE w:val="0"/>
        <w:autoSpaceDN w:val="0"/>
        <w:bidi w:val="0"/>
        <w:adjustRightInd w:val="0"/>
        <w:snapToGrid w:val="0"/>
        <w:spacing w:before="107" w:line="560" w:lineRule="exact"/>
        <w:ind w:right="120" w:firstLine="64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被征地农民属现役军人、在校学生、单位就业参保、在岗村(居)委会干部参保的，认定后暂不参加被征地农民基本养老保险，在退出现役、毕(肄)业、失业、卸任后一年内，选择参加被征地农民基本养老保险的，按上述规定给予缴费补贴，逾期参保的扣减相应逾期月数缴费补贴。</w:t>
      </w:r>
    </w:p>
    <w:p w14:paraId="358F2E5D">
      <w:pPr>
        <w:pStyle w:val="2"/>
        <w:keepNext w:val="0"/>
        <w:keepLines w:val="0"/>
        <w:pageBreakBefore w:val="0"/>
        <w:widowControl/>
        <w:kinsoku w:val="0"/>
        <w:wordWrap/>
        <w:overflowPunct/>
        <w:topLinePunct w:val="0"/>
        <w:autoSpaceDE w:val="0"/>
        <w:autoSpaceDN w:val="0"/>
        <w:bidi w:val="0"/>
        <w:adjustRightInd w:val="0"/>
        <w:snapToGrid w:val="0"/>
        <w:spacing w:before="107" w:line="560" w:lineRule="exact"/>
        <w:ind w:right="120" w:firstLine="649"/>
        <w:jc w:val="both"/>
        <w:textAlignment w:val="baseline"/>
        <w:rPr>
          <w:rFonts w:hint="eastAsia" w:ascii="仿宋_GB2312" w:hAnsi="仿宋_GB2312" w:eastAsia="仿宋_GB2312" w:cs="仿宋_GB2312"/>
          <w:spacing w:val="0"/>
          <w:sz w:val="33"/>
          <w:szCs w:val="33"/>
        </w:rPr>
      </w:pPr>
      <w:r>
        <w:rPr>
          <w:rFonts w:ascii="楷体" w:hAnsi="楷体" w:eastAsia="楷体" w:cs="楷体"/>
          <w:spacing w:val="0"/>
          <w:sz w:val="32"/>
          <w:szCs w:val="32"/>
        </w:rPr>
        <w:t>(三)参加企业职工基本养老保险缴费办法</w:t>
      </w:r>
      <w:r>
        <w:rPr>
          <w:spacing w:val="0"/>
          <w:sz w:val="32"/>
          <w:szCs w:val="32"/>
        </w:rPr>
        <w:t>。</w:t>
      </w:r>
      <w:r>
        <w:rPr>
          <w:rFonts w:hint="eastAsia" w:ascii="仿宋_GB2312" w:hAnsi="仿宋_GB2312" w:eastAsia="仿宋_GB2312" w:cs="仿宋_GB2312"/>
          <w:spacing w:val="0"/>
          <w:sz w:val="32"/>
          <w:szCs w:val="32"/>
        </w:rPr>
        <w:t>符合参加企业职工基本养老保险条件的被征地农民选择按企业职工基本养老保险参保的，可参照灵活就业人员方式参保，缴费基数按参保时江西省上年度在岗职工月平均工资的60%核定，缴费比例为20%；政府给予的参保缴费补贴用于被征地农民补贴期限内应缴纳的社会统筹费用，纳入社会统筹基金；个人在享受参保缴费补贴期限内，按8%的比例缴纳基本养老保险费，并按规定记入个人账户。</w:t>
      </w:r>
      <w:r>
        <w:rPr>
          <w:rFonts w:hint="eastAsia" w:ascii="仿宋_GB2312" w:hAnsi="仿宋_GB2312" w:eastAsia="仿宋_GB2312" w:cs="仿宋_GB2312"/>
          <w:color w:val="000008"/>
          <w:spacing w:val="0"/>
          <w:kern w:val="0"/>
          <w:sz w:val="31"/>
          <w:szCs w:val="31"/>
          <w:lang w:bidi="ar"/>
        </w:rPr>
        <w:t>达到法定退休年龄时累计缴费符合待遇领取最低缴费年限的，按规定办理领取基本养老金手续，并从办理手续的次月起按月领取基本养老金</w:t>
      </w:r>
      <w:r>
        <w:rPr>
          <w:rFonts w:hint="eastAsia" w:ascii="仿宋_GB2312" w:hAnsi="仿宋_GB2312" w:eastAsia="仿宋_GB2312" w:cs="仿宋_GB2312"/>
          <w:color w:val="000008"/>
          <w:spacing w:val="0"/>
          <w:kern w:val="0"/>
          <w:sz w:val="31"/>
          <w:szCs w:val="31"/>
          <w:lang w:eastAsia="zh-CN" w:bidi="ar"/>
        </w:rPr>
        <w:t>。</w:t>
      </w:r>
      <w:r>
        <w:rPr>
          <w:rFonts w:hint="eastAsia" w:ascii="仿宋_GB2312" w:hAnsi="仿宋_GB2312" w:eastAsia="仿宋_GB2312" w:cs="仿宋_GB2312"/>
          <w:spacing w:val="0"/>
          <w:sz w:val="32"/>
          <w:szCs w:val="32"/>
        </w:rPr>
        <w:t>对达到法定退休年龄时累计缴费不足待遇领取最低缴费年限的，按相关政策规定延长缴费年限，待符合企业职工基本养老保险待遇领取条件时，可按规定办理领取基本养老金手续，并从办理手续的次月起按月领取基本养老金。同时必须严格执行《人力资源社会</w:t>
      </w:r>
      <w:r>
        <w:rPr>
          <w:rFonts w:hint="eastAsia" w:ascii="仿宋_GB2312" w:hAnsi="仿宋_GB2312" w:eastAsia="仿宋_GB2312" w:cs="仿宋_GB2312"/>
          <w:spacing w:val="0"/>
          <w:sz w:val="33"/>
          <w:szCs w:val="33"/>
        </w:rPr>
        <w:t>保障部财政部关于进一步加强企业职工基本养老保险基金收支管理的通知》(人社部发〔2016〕132号)规定，不得采取一次性缴费的方式将超过法定退休年龄等不符合条件人员纳入企业职工基本养老保险参保范围。被征地农民不得跨年补缴。补贴期限内中断缴费期间不享受缴费补贴，补贴期限不往后顺延。</w:t>
      </w:r>
    </w:p>
    <w:p w14:paraId="4C2A8840">
      <w:pPr>
        <w:pStyle w:val="2"/>
        <w:keepNext w:val="0"/>
        <w:keepLines w:val="0"/>
        <w:pageBreakBefore w:val="0"/>
        <w:widowControl/>
        <w:kinsoku w:val="0"/>
        <w:wordWrap/>
        <w:overflowPunct/>
        <w:topLinePunct w:val="0"/>
        <w:autoSpaceDE w:val="0"/>
        <w:autoSpaceDN w:val="0"/>
        <w:bidi w:val="0"/>
        <w:adjustRightInd w:val="0"/>
        <w:snapToGrid w:val="0"/>
        <w:spacing w:before="36" w:line="560" w:lineRule="exact"/>
        <w:ind w:right="72" w:firstLine="680"/>
        <w:jc w:val="both"/>
        <w:textAlignment w:val="baseline"/>
        <w:rPr>
          <w:rFonts w:hint="eastAsia" w:ascii="仿宋_GB2312" w:hAnsi="仿宋_GB2312" w:eastAsia="仿宋_GB2312" w:cs="仿宋_GB2312"/>
          <w:spacing w:val="0"/>
          <w:sz w:val="32"/>
          <w:szCs w:val="32"/>
        </w:rPr>
      </w:pPr>
      <w:r>
        <w:rPr>
          <w:rFonts w:ascii="楷体" w:hAnsi="楷体" w:eastAsia="楷体" w:cs="楷体"/>
          <w:spacing w:val="0"/>
          <w:sz w:val="33"/>
          <w:szCs w:val="33"/>
        </w:rPr>
        <w:t>(四)参加城乡居民基本养老保险缴费办法</w:t>
      </w:r>
      <w:r>
        <w:rPr>
          <w:spacing w:val="0"/>
          <w:sz w:val="33"/>
          <w:szCs w:val="33"/>
        </w:rPr>
        <w:t>。</w:t>
      </w:r>
      <w:r>
        <w:rPr>
          <w:rFonts w:hint="eastAsia" w:ascii="仿宋_GB2312" w:hAnsi="仿宋_GB2312" w:eastAsia="仿宋_GB2312" w:cs="仿宋_GB2312"/>
          <w:spacing w:val="0"/>
          <w:sz w:val="32"/>
          <w:szCs w:val="32"/>
        </w:rPr>
        <w:t>被征地农民选择按城乡居民基本养老保险参保的，由个人选择城乡居民基本养老保险缴费档次缴纳基本养老保险费，政府缴费补贴按规定标准逐年划入个人账户，补贴年限统一按15年计算；对达到待遇领取年龄的，个人缴费年限已满15年或个人缴费不满15年按规定补缴基本养老保险费至满15年，但政府缴费补贴年限未满15年的，在办理待遇领取手续时以领取待遇当年的政府缴费补贴标准为基数，将剩余年限的政府缴费补贴一次性划入个人账户；对已领取城乡居民基本养老保险待遇的被征地农民，以认定被征地农民当年的政府缴费补贴为标准一次性划入其个人账户，并从次月起按规定增发个人账户养老金。一次性划入个人账户的政府缴费补贴不另行折算城乡居民基本养老保险缴费年限。</w:t>
      </w:r>
    </w:p>
    <w:p w14:paraId="70AB0A0D">
      <w:pPr>
        <w:pStyle w:val="2"/>
        <w:keepNext w:val="0"/>
        <w:keepLines w:val="0"/>
        <w:pageBreakBefore w:val="0"/>
        <w:widowControl/>
        <w:kinsoku w:val="0"/>
        <w:wordWrap/>
        <w:overflowPunct/>
        <w:topLinePunct w:val="0"/>
        <w:autoSpaceDE w:val="0"/>
        <w:autoSpaceDN w:val="0"/>
        <w:bidi w:val="0"/>
        <w:adjustRightInd w:val="0"/>
        <w:snapToGrid w:val="0"/>
        <w:spacing w:before="58" w:line="560" w:lineRule="exact"/>
        <w:ind w:firstLine="76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已达到或超过企业职工基本养老保险法定退休年龄而未参加企业职工基本养老保险的，统一按规定参加城乡居民基本养老保险。</w:t>
      </w:r>
    </w:p>
    <w:p w14:paraId="6FF7160D">
      <w:pPr>
        <w:keepNext w:val="0"/>
        <w:keepLines w:val="0"/>
        <w:pageBreakBefore w:val="0"/>
        <w:widowControl/>
        <w:kinsoku w:val="0"/>
        <w:wordWrap/>
        <w:overflowPunct/>
        <w:topLinePunct w:val="0"/>
        <w:autoSpaceDE w:val="0"/>
        <w:autoSpaceDN w:val="0"/>
        <w:bidi w:val="0"/>
        <w:adjustRightInd w:val="0"/>
        <w:snapToGrid w:val="0"/>
        <w:spacing w:before="22" w:line="560" w:lineRule="exact"/>
        <w:ind w:left="724"/>
        <w:jc w:val="both"/>
        <w:textAlignment w:val="baseline"/>
        <w:outlineLvl w:val="1"/>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二、规范被征地农民缴费补贴程序</w:t>
      </w:r>
    </w:p>
    <w:p w14:paraId="119DCB20">
      <w:pPr>
        <w:pStyle w:val="2"/>
        <w:keepNext w:val="0"/>
        <w:keepLines w:val="0"/>
        <w:pageBreakBefore w:val="0"/>
        <w:widowControl/>
        <w:kinsoku w:val="0"/>
        <w:wordWrap/>
        <w:overflowPunct/>
        <w:topLinePunct w:val="0"/>
        <w:autoSpaceDE w:val="0"/>
        <w:autoSpaceDN w:val="0"/>
        <w:bidi w:val="0"/>
        <w:adjustRightInd w:val="0"/>
        <w:snapToGrid w:val="0"/>
        <w:spacing w:before="107" w:line="560" w:lineRule="exact"/>
        <w:ind w:firstLine="660"/>
        <w:jc w:val="both"/>
        <w:textAlignment w:val="baseline"/>
        <w:rPr>
          <w:rFonts w:hint="eastAsia" w:ascii="仿宋_GB2312" w:hAnsi="仿宋_GB2312" w:eastAsia="仿宋_GB2312" w:cs="仿宋_GB2312"/>
          <w:spacing w:val="-20"/>
          <w:sz w:val="32"/>
          <w:szCs w:val="32"/>
        </w:rPr>
      </w:pPr>
      <w:r>
        <w:rPr>
          <w:rFonts w:ascii="楷体" w:hAnsi="楷体" w:eastAsia="楷体" w:cs="楷体"/>
          <w:spacing w:val="0"/>
          <w:sz w:val="33"/>
          <w:szCs w:val="33"/>
        </w:rPr>
        <w:t>(一)完善被征地农民认定公示程序</w:t>
      </w:r>
      <w:r>
        <w:rPr>
          <w:spacing w:val="0"/>
          <w:sz w:val="33"/>
          <w:szCs w:val="33"/>
        </w:rPr>
        <w:t>。</w:t>
      </w:r>
      <w:r>
        <w:rPr>
          <w:rFonts w:hint="eastAsia" w:ascii="仿宋_GB2312" w:hAnsi="仿宋_GB2312" w:eastAsia="仿宋_GB2312" w:cs="仿宋_GB2312"/>
          <w:spacing w:val="0"/>
          <w:sz w:val="32"/>
          <w:szCs w:val="32"/>
        </w:rPr>
        <w:t>被征地农民的认定应经“村级初审、乡镇复审、县级联审”三个环节，并且每个环节必须对拟定的缴费补贴对象进行公示，公示时间不得少于7天。</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人民政府组织自然资源、农业农村、人力资源社会保障、公安、财政等部门最终确定被征地农民缴费补贴人员名单。对原已审批认定的被征地农民不得再次重复认定，重复认定的以第一次认定为准，之后认定的由</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自然资源局予以撤销并收回被征地农民证书。</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自然资源局按月或按批次将拟认定人</w:t>
      </w:r>
      <w:r>
        <w:rPr>
          <w:rFonts w:hint="eastAsia" w:ascii="仿宋_GB2312" w:hAnsi="仿宋_GB2312" w:eastAsia="仿宋_GB2312" w:cs="仿宋_GB2312"/>
          <w:spacing w:val="-20"/>
          <w:sz w:val="32"/>
          <w:szCs w:val="32"/>
        </w:rPr>
        <w:t>员名单和已审批认定人员名单反馈至</w:t>
      </w:r>
      <w:r>
        <w:rPr>
          <w:rFonts w:hint="eastAsia" w:ascii="仿宋_GB2312" w:hAnsi="仿宋_GB2312" w:eastAsia="仿宋_GB2312" w:cs="仿宋_GB2312"/>
          <w:spacing w:val="-20"/>
          <w:sz w:val="32"/>
          <w:szCs w:val="32"/>
          <w:lang w:val="en-US" w:eastAsia="zh-CN"/>
        </w:rPr>
        <w:t>市</w:t>
      </w:r>
      <w:r>
        <w:rPr>
          <w:rFonts w:hint="eastAsia" w:ascii="仿宋_GB2312" w:hAnsi="仿宋_GB2312" w:eastAsia="仿宋_GB2312" w:cs="仿宋_GB2312"/>
          <w:spacing w:val="-20"/>
          <w:sz w:val="32"/>
          <w:szCs w:val="32"/>
        </w:rPr>
        <w:t>社保中心核查参保情况。</w:t>
      </w:r>
    </w:p>
    <w:p w14:paraId="6BC00E63">
      <w:pPr>
        <w:pStyle w:val="2"/>
        <w:keepNext w:val="0"/>
        <w:keepLines w:val="0"/>
        <w:pageBreakBefore w:val="0"/>
        <w:widowControl/>
        <w:kinsoku w:val="0"/>
        <w:wordWrap/>
        <w:overflowPunct/>
        <w:topLinePunct w:val="0"/>
        <w:autoSpaceDE w:val="0"/>
        <w:autoSpaceDN w:val="0"/>
        <w:bidi w:val="0"/>
        <w:adjustRightInd w:val="0"/>
        <w:snapToGrid w:val="0"/>
        <w:spacing w:before="134" w:line="560" w:lineRule="exact"/>
        <w:ind w:right="30" w:firstLine="658"/>
        <w:jc w:val="both"/>
        <w:textAlignment w:val="baseline"/>
        <w:rPr>
          <w:rFonts w:hint="eastAsia" w:ascii="仿宋_GB2312" w:hAnsi="仿宋_GB2312" w:eastAsia="仿宋_GB2312" w:cs="仿宋_GB2312"/>
          <w:spacing w:val="0"/>
          <w:sz w:val="32"/>
          <w:szCs w:val="32"/>
        </w:rPr>
      </w:pPr>
      <w:r>
        <w:rPr>
          <w:rFonts w:ascii="楷体" w:hAnsi="楷体" w:eastAsia="楷体" w:cs="楷体"/>
          <w:spacing w:val="0"/>
          <w:sz w:val="33"/>
          <w:szCs w:val="33"/>
        </w:rPr>
        <w:t>(二)落实被征地农民社会保障补贴资金</w:t>
      </w:r>
      <w:r>
        <w:rPr>
          <w:spacing w:val="0"/>
          <w:sz w:val="33"/>
          <w:szCs w:val="33"/>
        </w:rPr>
        <w:t>。</w:t>
      </w:r>
      <w:r>
        <w:rPr>
          <w:rFonts w:hint="eastAsia" w:ascii="仿宋_GB2312" w:hAnsi="仿宋_GB2312" w:eastAsia="仿宋_GB2312" w:cs="仿宋_GB2312"/>
          <w:spacing w:val="0"/>
          <w:sz w:val="32"/>
          <w:szCs w:val="32"/>
        </w:rPr>
        <w:t>按照“先保后征”的原则，坚持“谁征地、谁负责”多渠道筹集参保缴费补贴资金，先按《江西省征收土地管理办法》等相关规定预存被征地农民社会保障费用，后报批征地；先足额筹集社会保障资金，后实施征地；被征地农民缴费后，</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社保部门按月向</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财政部门申请缴费补贴，</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财政部门应及时拨付缴费补贴资金。要规范管理被征地农民社会保障预存资金和土地出让收入计提资金，健全财务管理制度，单独列支、专款专用，确保政府缴费补贴资金及时足额到位。在组织用地报批时，社会保障预存资金统一预存到</w:t>
      </w:r>
      <w:r>
        <w:rPr>
          <w:rFonts w:hint="eastAsia" w:ascii="仿宋_GB2312" w:hAnsi="仿宋_GB2312" w:eastAsia="仿宋_GB2312" w:cs="仿宋_GB2312"/>
          <w:spacing w:val="0"/>
          <w:sz w:val="32"/>
          <w:szCs w:val="32"/>
          <w:lang w:val="en-US" w:eastAsia="zh-CN"/>
        </w:rPr>
        <w:t>赣州</w:t>
      </w:r>
      <w:r>
        <w:rPr>
          <w:rFonts w:hint="eastAsia" w:ascii="仿宋_GB2312" w:hAnsi="仿宋_GB2312" w:eastAsia="仿宋_GB2312" w:cs="仿宋_GB2312"/>
          <w:spacing w:val="0"/>
          <w:sz w:val="32"/>
          <w:szCs w:val="32"/>
        </w:rPr>
        <w:t>市人力资源社会保障部门代管账户。用地经依法批准后，以</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政府名义向</w:t>
      </w:r>
      <w:r>
        <w:rPr>
          <w:rFonts w:hint="eastAsia" w:ascii="仿宋_GB2312" w:hAnsi="仿宋_GB2312" w:eastAsia="仿宋_GB2312" w:cs="仿宋_GB2312"/>
          <w:spacing w:val="0"/>
          <w:sz w:val="32"/>
          <w:szCs w:val="32"/>
          <w:lang w:val="en-US" w:eastAsia="zh-CN"/>
        </w:rPr>
        <w:t>赣州</w:t>
      </w:r>
      <w:r>
        <w:rPr>
          <w:rFonts w:hint="eastAsia" w:ascii="仿宋_GB2312" w:hAnsi="仿宋_GB2312" w:eastAsia="仿宋_GB2312" w:cs="仿宋_GB2312"/>
          <w:spacing w:val="0"/>
          <w:sz w:val="32"/>
          <w:szCs w:val="32"/>
        </w:rPr>
        <w:t>市人力资源社会保障部门提出被征地农民社会保障预存资金返还申请。</w:t>
      </w:r>
    </w:p>
    <w:p w14:paraId="7A5098ED">
      <w:pPr>
        <w:pStyle w:val="2"/>
        <w:keepNext w:val="0"/>
        <w:keepLines w:val="0"/>
        <w:pageBreakBefore w:val="0"/>
        <w:widowControl/>
        <w:kinsoku w:val="0"/>
        <w:wordWrap/>
        <w:overflowPunct/>
        <w:topLinePunct w:val="0"/>
        <w:autoSpaceDE w:val="0"/>
        <w:autoSpaceDN w:val="0"/>
        <w:bidi w:val="0"/>
        <w:adjustRightInd w:val="0"/>
        <w:snapToGrid w:val="0"/>
        <w:spacing w:before="134" w:line="560" w:lineRule="exact"/>
        <w:ind w:right="30" w:firstLine="658"/>
        <w:jc w:val="both"/>
        <w:textAlignment w:val="baseline"/>
        <w:rPr>
          <w:rFonts w:hint="eastAsia" w:ascii="仿宋_GB2312" w:hAnsi="仿宋_GB2312" w:eastAsia="仿宋_GB2312" w:cs="仿宋_GB2312"/>
          <w:spacing w:val="0"/>
          <w:sz w:val="32"/>
          <w:szCs w:val="32"/>
        </w:rPr>
      </w:pPr>
      <w:r>
        <w:rPr>
          <w:rFonts w:hint="eastAsia" w:ascii="楷体" w:hAnsi="楷体" w:eastAsia="楷体" w:cs="楷体"/>
          <w:spacing w:val="0"/>
          <w:sz w:val="33"/>
          <w:szCs w:val="33"/>
        </w:rPr>
        <w:t>(三)规范被征地农民社会保障落实方案审核程序。</w:t>
      </w:r>
      <w:r>
        <w:rPr>
          <w:rFonts w:hint="eastAsia" w:ascii="仿宋_GB2312" w:hAnsi="仿宋_GB2312" w:eastAsia="仿宋_GB2312" w:cs="仿宋_GB2312"/>
          <w:spacing w:val="0"/>
          <w:sz w:val="32"/>
          <w:szCs w:val="32"/>
        </w:rPr>
        <w:t>被征地农民社会保障落实方案的审核应按逐级申报的原则，严格执行国务院和省政府“社会保障费用不落实的不得批准征地”的规定。凡未落实被征地农民参保政策的，人力资源社会保障部门不予审核，征地审批机关不予批准征地。上报审核的材料要规范书写、内容完整、意见明确、数据准确。</w:t>
      </w:r>
    </w:p>
    <w:p w14:paraId="3BFE1685">
      <w:pPr>
        <w:keepNext w:val="0"/>
        <w:keepLines w:val="0"/>
        <w:pageBreakBefore w:val="0"/>
        <w:widowControl/>
        <w:kinsoku w:val="0"/>
        <w:wordWrap/>
        <w:overflowPunct/>
        <w:topLinePunct w:val="0"/>
        <w:autoSpaceDE w:val="0"/>
        <w:autoSpaceDN w:val="0"/>
        <w:bidi w:val="0"/>
        <w:adjustRightInd w:val="0"/>
        <w:snapToGrid w:val="0"/>
        <w:spacing w:before="1" w:line="560" w:lineRule="exact"/>
        <w:ind w:left="644"/>
        <w:jc w:val="both"/>
        <w:textAlignment w:val="baseline"/>
        <w:outlineLvl w:val="1"/>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三、明确部门职责协同推进被征地农民社会保障工作</w:t>
      </w:r>
    </w:p>
    <w:p w14:paraId="21F5B8F9">
      <w:pPr>
        <w:pStyle w:val="2"/>
        <w:keepNext w:val="0"/>
        <w:keepLines w:val="0"/>
        <w:pageBreakBefore w:val="0"/>
        <w:widowControl/>
        <w:kinsoku w:val="0"/>
        <w:wordWrap/>
        <w:overflowPunct/>
        <w:topLinePunct w:val="0"/>
        <w:autoSpaceDE w:val="0"/>
        <w:autoSpaceDN w:val="0"/>
        <w:bidi w:val="0"/>
        <w:adjustRightInd w:val="0"/>
        <w:snapToGrid w:val="0"/>
        <w:spacing w:before="96" w:line="560" w:lineRule="exact"/>
        <w:ind w:right="17" w:firstLine="68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完善政府主导、多部门联动的被征地农民社会保障工作协调机制和数据共享机制，落实部门责任，切实做好被征地农民社会保障工作。人力资源和社会保障部门负责被征地农民参保的统筹规划、政策制定、组织实施和经办管理；财政部门负责被征地农民社会保障补贴资金足额保障，缴费补贴资金筹集、拨付，资金预算安排及资金使用审核监督管理；自然资源、农业农村部门负责土地征收、征地补偿及被征地农民的认定工作，会同人社部门共同把好被征地农民基本养老保险落实情况审查关；公安部门配合自然资源部门做好被征地农民身份认定工作中涉及户籍信息的相关认定工作；税务局部门负责做好被征地农民基本养老保险费征收工作；审计部门按照职责对被征地农民基本养老保险参保缴费补贴资金筹集、管理和使用情况实施监督；民政部门负责被征地农民最低生活保障和社会救助工作。各乡(镇)负责做好本行政区域内被征地农民身份认定的初审、复审、参保经办及政策宣传等工作。</w:t>
      </w:r>
    </w:p>
    <w:p w14:paraId="61344BF8">
      <w:pPr>
        <w:keepNext w:val="0"/>
        <w:keepLines w:val="0"/>
        <w:pageBreakBefore w:val="0"/>
        <w:widowControl/>
        <w:kinsoku w:val="0"/>
        <w:wordWrap/>
        <w:overflowPunct/>
        <w:topLinePunct w:val="0"/>
        <w:autoSpaceDE w:val="0"/>
        <w:autoSpaceDN w:val="0"/>
        <w:bidi w:val="0"/>
        <w:adjustRightInd w:val="0"/>
        <w:snapToGrid w:val="0"/>
        <w:spacing w:before="155" w:line="560" w:lineRule="exact"/>
        <w:ind w:left="694"/>
        <w:jc w:val="both"/>
        <w:textAlignment w:val="baseline"/>
        <w:outlineLvl w:val="1"/>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四、认真做好组织实施工作</w:t>
      </w:r>
    </w:p>
    <w:p w14:paraId="03BE739C">
      <w:pPr>
        <w:pStyle w:val="2"/>
        <w:keepNext w:val="0"/>
        <w:keepLines w:val="0"/>
        <w:pageBreakBefore w:val="0"/>
        <w:widowControl/>
        <w:kinsoku w:val="0"/>
        <w:wordWrap/>
        <w:overflowPunct/>
        <w:topLinePunct w:val="0"/>
        <w:autoSpaceDE w:val="0"/>
        <w:autoSpaceDN w:val="0"/>
        <w:bidi w:val="0"/>
        <w:adjustRightInd w:val="0"/>
        <w:snapToGrid w:val="0"/>
        <w:spacing w:before="26" w:line="560" w:lineRule="exact"/>
        <w:ind w:right="99" w:firstLine="719"/>
        <w:jc w:val="both"/>
        <w:textAlignment w:val="baseline"/>
        <w:rPr>
          <w:rFonts w:hint="eastAsia" w:ascii="仿宋_GB2312" w:hAnsi="仿宋_GB2312" w:eastAsia="仿宋_GB2312" w:cs="仿宋_GB2312"/>
          <w:spacing w:val="0"/>
          <w:sz w:val="32"/>
          <w:szCs w:val="32"/>
        </w:rPr>
      </w:pPr>
      <w:r>
        <w:rPr>
          <w:rFonts w:ascii="楷体" w:hAnsi="楷体" w:eastAsia="楷体" w:cs="楷体"/>
          <w:spacing w:val="0"/>
          <w:sz w:val="32"/>
          <w:szCs w:val="32"/>
        </w:rPr>
        <w:t>(一)提高思想认识</w:t>
      </w:r>
      <w:r>
        <w:rPr>
          <w:spacing w:val="0"/>
          <w:sz w:val="32"/>
          <w:szCs w:val="32"/>
        </w:rPr>
        <w:t>。</w:t>
      </w:r>
      <w:r>
        <w:rPr>
          <w:rFonts w:hint="eastAsia" w:ascii="仿宋_GB2312" w:hAnsi="仿宋_GB2312" w:eastAsia="仿宋_GB2312" w:cs="仿宋_GB2312"/>
          <w:spacing w:val="0"/>
          <w:sz w:val="32"/>
          <w:szCs w:val="32"/>
        </w:rPr>
        <w:t>要深刻认识被征地农民社会保障工作的重要性，认真贯彻落实《江西省征收土地管理办法》和省政府有关规定，切实提高政治站位，积极引导被征地农民选择适合自己的参保方式，做到尽早参保。</w:t>
      </w:r>
    </w:p>
    <w:p w14:paraId="07C88B84">
      <w:pPr>
        <w:pStyle w:val="2"/>
        <w:keepNext w:val="0"/>
        <w:keepLines w:val="0"/>
        <w:pageBreakBefore w:val="0"/>
        <w:widowControl/>
        <w:kinsoku w:val="0"/>
        <w:wordWrap/>
        <w:overflowPunct/>
        <w:topLinePunct w:val="0"/>
        <w:autoSpaceDE w:val="0"/>
        <w:autoSpaceDN w:val="0"/>
        <w:bidi w:val="0"/>
        <w:adjustRightInd w:val="0"/>
        <w:snapToGrid w:val="0"/>
        <w:spacing w:before="106" w:line="560" w:lineRule="exact"/>
        <w:ind w:right="99" w:firstLine="739"/>
        <w:jc w:val="both"/>
        <w:textAlignment w:val="baseline"/>
        <w:rPr>
          <w:rFonts w:hint="eastAsia" w:ascii="仿宋_GB2312" w:hAnsi="仿宋_GB2312" w:eastAsia="仿宋_GB2312" w:cs="仿宋_GB2312"/>
          <w:spacing w:val="0"/>
          <w:sz w:val="32"/>
          <w:szCs w:val="32"/>
        </w:rPr>
      </w:pPr>
      <w:r>
        <w:rPr>
          <w:rFonts w:ascii="楷体" w:hAnsi="楷体" w:eastAsia="楷体" w:cs="楷体"/>
          <w:spacing w:val="0"/>
          <w:sz w:val="32"/>
          <w:szCs w:val="32"/>
        </w:rPr>
        <w:t>(二)加强组织领导</w:t>
      </w:r>
      <w:r>
        <w:rPr>
          <w:spacing w:val="0"/>
          <w:sz w:val="32"/>
          <w:szCs w:val="32"/>
        </w:rPr>
        <w:t>。</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人民政府将被征地农民养老保险工作纳入经济社会发展规划和年度目标管理。责任部门主要领导是被征地农民社会保障工作第一责任人，相关部门单位应各负其责，加强合作，共同做好被征地农民社会保障工作。各乡(镇)、村(居)委会干部要严把认定审核关，避免重复认定，要加大政策宣传力度，把参保缴费补贴优惠政策告知每一位被征地农民，确保参保率为100%。</w:t>
      </w:r>
    </w:p>
    <w:p w14:paraId="69D5BFC1">
      <w:pPr>
        <w:pStyle w:val="2"/>
        <w:keepNext w:val="0"/>
        <w:keepLines w:val="0"/>
        <w:pageBreakBefore w:val="0"/>
        <w:widowControl/>
        <w:kinsoku w:val="0"/>
        <w:wordWrap/>
        <w:overflowPunct/>
        <w:topLinePunct w:val="0"/>
        <w:autoSpaceDE w:val="0"/>
        <w:autoSpaceDN w:val="0"/>
        <w:bidi w:val="0"/>
        <w:adjustRightInd w:val="0"/>
        <w:snapToGrid w:val="0"/>
        <w:spacing w:before="106" w:line="560" w:lineRule="exact"/>
        <w:ind w:right="99" w:firstLine="739"/>
        <w:jc w:val="both"/>
        <w:textAlignment w:val="baseline"/>
        <w:rPr>
          <w:rFonts w:hint="eastAsia" w:ascii="仿宋_GB2312" w:hAnsi="仿宋_GB2312" w:eastAsia="仿宋_GB2312" w:cs="仿宋_GB2312"/>
          <w:spacing w:val="0"/>
          <w:sz w:val="32"/>
          <w:szCs w:val="32"/>
          <w:lang w:val="en-US" w:eastAsia="zh-CN"/>
        </w:rPr>
      </w:pPr>
      <w:r>
        <w:rPr>
          <w:rFonts w:ascii="楷体" w:hAnsi="楷体" w:eastAsia="楷体" w:cs="楷体"/>
          <w:spacing w:val="0"/>
          <w:sz w:val="33"/>
          <w:szCs w:val="33"/>
        </w:rPr>
        <w:t>(三)强化督促检查</w:t>
      </w:r>
      <w:r>
        <w:rPr>
          <w:spacing w:val="0"/>
          <w:sz w:val="33"/>
          <w:szCs w:val="33"/>
        </w:rPr>
        <w:t>。</w:t>
      </w:r>
      <w:r>
        <w:rPr>
          <w:rFonts w:hint="eastAsia" w:ascii="仿宋_GB2312" w:hAnsi="仿宋_GB2312" w:eastAsia="仿宋_GB2312" w:cs="仿宋_GB2312"/>
          <w:spacing w:val="0"/>
          <w:sz w:val="32"/>
          <w:szCs w:val="32"/>
          <w:lang w:val="en-US" w:eastAsia="zh-CN"/>
        </w:rPr>
        <w:t>市被征地农民社会保障工作领导小组对被征地农民社会保障工作进行调度和督促检查，各乡镇应切实做好本行政区域内被征地农民社会保障工作，对存在被征地农民未及时参保缴费等政策落实不到位，或未履行职责造成重大舆情、群访事件及产生不良影响的，视情采取限期整改、通报批评、上级约谈等措施。</w:t>
      </w:r>
    </w:p>
    <w:p w14:paraId="037A3BA9">
      <w:pPr>
        <w:pStyle w:val="2"/>
        <w:keepNext w:val="0"/>
        <w:keepLines w:val="0"/>
        <w:pageBreakBefore w:val="0"/>
        <w:widowControl/>
        <w:kinsoku w:val="0"/>
        <w:wordWrap/>
        <w:overflowPunct/>
        <w:topLinePunct w:val="0"/>
        <w:autoSpaceDE w:val="0"/>
        <w:autoSpaceDN w:val="0"/>
        <w:bidi w:val="0"/>
        <w:adjustRightInd w:val="0"/>
        <w:snapToGrid w:val="0"/>
        <w:spacing w:before="106" w:line="560" w:lineRule="exact"/>
        <w:ind w:right="99" w:firstLine="739"/>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本通知自印发之日起施行。2022年6月14日至本通知施行之前被征地农民参保政策参照本通知执行。此前被征地农民</w:t>
      </w:r>
      <w:r>
        <w:rPr>
          <w:spacing w:val="0"/>
          <w:sz w:val="33"/>
          <w:szCs w:val="33"/>
        </w:rPr>
        <w:t>基</w:t>
      </w:r>
      <w:r>
        <w:rPr>
          <w:rFonts w:hint="eastAsia" w:ascii="仿宋_GB2312" w:hAnsi="仿宋_GB2312" w:eastAsia="仿宋_GB2312" w:cs="仿宋_GB2312"/>
          <w:spacing w:val="0"/>
          <w:sz w:val="32"/>
          <w:szCs w:val="32"/>
          <w:lang w:val="en-US" w:eastAsia="zh-CN"/>
        </w:rPr>
        <w:t>本养老保险政策有关规定与本通知不一致的，以本通知为准。今后国家、省、市另有规定，从其规定。</w:t>
      </w:r>
    </w:p>
    <w:p w14:paraId="1A5F62F9">
      <w:pPr>
        <w:pStyle w:val="2"/>
        <w:keepNext w:val="0"/>
        <w:keepLines w:val="0"/>
        <w:pageBreakBefore w:val="0"/>
        <w:widowControl/>
        <w:kinsoku w:val="0"/>
        <w:wordWrap/>
        <w:overflowPunct/>
        <w:topLinePunct w:val="0"/>
        <w:autoSpaceDE w:val="0"/>
        <w:autoSpaceDN w:val="0"/>
        <w:bidi w:val="0"/>
        <w:adjustRightInd w:val="0"/>
        <w:snapToGrid w:val="0"/>
        <w:spacing w:before="106" w:line="560" w:lineRule="exact"/>
        <w:ind w:right="99" w:firstLine="739"/>
        <w:jc w:val="both"/>
        <w:textAlignment w:val="baseline"/>
        <w:rPr>
          <w:rFonts w:hint="eastAsia" w:ascii="仿宋_GB2312" w:hAnsi="仿宋_GB2312" w:eastAsia="仿宋_GB2312" w:cs="仿宋_GB2312"/>
          <w:spacing w:val="0"/>
          <w:sz w:val="32"/>
          <w:szCs w:val="32"/>
          <w:lang w:val="en-US" w:eastAsia="zh-CN"/>
        </w:rPr>
      </w:pPr>
    </w:p>
    <w:p w14:paraId="625B4D7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pacing w:val="0"/>
          <w:sz w:val="21"/>
        </w:rPr>
      </w:pPr>
    </w:p>
    <w:p w14:paraId="1A0E6F2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pacing w:val="0"/>
          <w:sz w:val="21"/>
        </w:rPr>
      </w:pPr>
    </w:p>
    <w:p w14:paraId="01097E37">
      <w:pPr>
        <w:pStyle w:val="2"/>
        <w:keepNext w:val="0"/>
        <w:keepLines w:val="0"/>
        <w:pageBreakBefore w:val="0"/>
        <w:widowControl/>
        <w:kinsoku w:val="0"/>
        <w:wordWrap/>
        <w:overflowPunct/>
        <w:topLinePunct w:val="0"/>
        <w:autoSpaceDE w:val="0"/>
        <w:autoSpaceDN w:val="0"/>
        <w:bidi w:val="0"/>
        <w:adjustRightInd w:val="0"/>
        <w:snapToGrid w:val="0"/>
        <w:spacing w:before="108" w:line="560" w:lineRule="exact"/>
        <w:ind w:left="5079"/>
        <w:jc w:val="both"/>
        <w:textAlignment w:val="baseline"/>
        <w:rPr>
          <w:spacing w:val="0"/>
          <w:sz w:val="33"/>
          <w:szCs w:val="33"/>
        </w:rPr>
      </w:pPr>
      <w:r>
        <w:rPr>
          <w:spacing w:val="0"/>
          <w:sz w:val="33"/>
          <w:szCs w:val="33"/>
        </w:rPr>
        <w:t>2024年</w:t>
      </w:r>
      <w:r>
        <w:rPr>
          <w:rFonts w:hint="eastAsia"/>
          <w:spacing w:val="0"/>
          <w:sz w:val="33"/>
          <w:szCs w:val="33"/>
          <w:lang w:val="en-US" w:eastAsia="zh-CN"/>
        </w:rPr>
        <w:t>11</w:t>
      </w:r>
      <w:r>
        <w:rPr>
          <w:spacing w:val="0"/>
          <w:sz w:val="33"/>
          <w:szCs w:val="33"/>
        </w:rPr>
        <w:t>月</w:t>
      </w:r>
      <w:r>
        <w:rPr>
          <w:rFonts w:hint="eastAsia"/>
          <w:spacing w:val="0"/>
          <w:sz w:val="33"/>
          <w:szCs w:val="33"/>
          <w:lang w:val="en-US" w:eastAsia="zh-CN"/>
        </w:rPr>
        <w:t xml:space="preserve">  </w:t>
      </w:r>
      <w:r>
        <w:rPr>
          <w:spacing w:val="0"/>
          <w:sz w:val="33"/>
          <w:szCs w:val="33"/>
        </w:rPr>
        <w:t>日</w:t>
      </w:r>
    </w:p>
    <w:p w14:paraId="45831D1F">
      <w:pPr>
        <w:keepNext w:val="0"/>
        <w:keepLines w:val="0"/>
        <w:pageBreakBefore w:val="0"/>
        <w:widowControl/>
        <w:kinsoku w:val="0"/>
        <w:wordWrap/>
        <w:overflowPunct/>
        <w:topLinePunct w:val="0"/>
        <w:autoSpaceDE w:val="0"/>
        <w:autoSpaceDN w:val="0"/>
        <w:bidi w:val="0"/>
        <w:adjustRightInd w:val="0"/>
        <w:snapToGrid w:val="0"/>
        <w:spacing w:before="15" w:line="560" w:lineRule="exact"/>
        <w:jc w:val="both"/>
        <w:textAlignment w:val="baseline"/>
        <w:rPr>
          <w:spacing w:val="0"/>
        </w:rPr>
      </w:pPr>
    </w:p>
    <w:p w14:paraId="3FE6B2FF">
      <w:pPr>
        <w:keepNext w:val="0"/>
        <w:keepLines w:val="0"/>
        <w:pageBreakBefore w:val="0"/>
        <w:widowControl/>
        <w:kinsoku w:val="0"/>
        <w:wordWrap/>
        <w:overflowPunct/>
        <w:topLinePunct w:val="0"/>
        <w:autoSpaceDE w:val="0"/>
        <w:autoSpaceDN w:val="0"/>
        <w:bidi w:val="0"/>
        <w:adjustRightInd w:val="0"/>
        <w:snapToGrid w:val="0"/>
        <w:spacing w:before="15" w:line="560" w:lineRule="exact"/>
        <w:jc w:val="both"/>
        <w:textAlignment w:val="baseline"/>
        <w:rPr>
          <w:spacing w:val="0"/>
        </w:rPr>
      </w:pPr>
      <w:bookmarkStart w:id="0" w:name="_GoBack"/>
      <w:bookmarkEnd w:id="0"/>
    </w:p>
    <w:p w14:paraId="6A0D0AAC">
      <w:pPr>
        <w:keepNext w:val="0"/>
        <w:keepLines w:val="0"/>
        <w:pageBreakBefore w:val="0"/>
        <w:widowControl/>
        <w:kinsoku w:val="0"/>
        <w:wordWrap/>
        <w:overflowPunct/>
        <w:topLinePunct w:val="0"/>
        <w:autoSpaceDE w:val="0"/>
        <w:autoSpaceDN w:val="0"/>
        <w:bidi w:val="0"/>
        <w:adjustRightInd w:val="0"/>
        <w:snapToGrid w:val="0"/>
        <w:spacing w:before="15" w:line="560" w:lineRule="exact"/>
        <w:jc w:val="both"/>
        <w:textAlignment w:val="baseline"/>
        <w:rPr>
          <w:spacing w:val="0"/>
        </w:rPr>
      </w:pPr>
    </w:p>
    <w:p w14:paraId="3BBCDD86">
      <w:pPr>
        <w:keepNext w:val="0"/>
        <w:keepLines w:val="0"/>
        <w:pageBreakBefore w:val="0"/>
        <w:widowControl/>
        <w:kinsoku w:val="0"/>
        <w:wordWrap/>
        <w:overflowPunct/>
        <w:topLinePunct w:val="0"/>
        <w:autoSpaceDE w:val="0"/>
        <w:autoSpaceDN w:val="0"/>
        <w:bidi w:val="0"/>
        <w:adjustRightInd w:val="0"/>
        <w:snapToGrid w:val="0"/>
        <w:spacing w:before="15" w:line="560" w:lineRule="exact"/>
        <w:jc w:val="both"/>
        <w:textAlignment w:val="baseline"/>
        <w:rPr>
          <w:spacing w:val="0"/>
        </w:rPr>
      </w:pPr>
    </w:p>
    <w:p w14:paraId="010B749F">
      <w:pPr>
        <w:keepNext w:val="0"/>
        <w:keepLines w:val="0"/>
        <w:pageBreakBefore w:val="0"/>
        <w:widowControl/>
        <w:kinsoku w:val="0"/>
        <w:wordWrap/>
        <w:overflowPunct/>
        <w:topLinePunct w:val="0"/>
        <w:autoSpaceDE w:val="0"/>
        <w:autoSpaceDN w:val="0"/>
        <w:bidi w:val="0"/>
        <w:adjustRightInd w:val="0"/>
        <w:snapToGrid w:val="0"/>
        <w:spacing w:before="15" w:line="560" w:lineRule="exact"/>
        <w:textAlignment w:val="baseline"/>
        <w:rPr>
          <w:spacing w:val="0"/>
        </w:rPr>
      </w:pPr>
    </w:p>
    <w:p w14:paraId="14760869">
      <w:pPr>
        <w:keepNext w:val="0"/>
        <w:keepLines w:val="0"/>
        <w:pageBreakBefore w:val="0"/>
        <w:widowControl/>
        <w:kinsoku w:val="0"/>
        <w:wordWrap/>
        <w:overflowPunct/>
        <w:topLinePunct w:val="0"/>
        <w:autoSpaceDE w:val="0"/>
        <w:autoSpaceDN w:val="0"/>
        <w:bidi w:val="0"/>
        <w:adjustRightInd w:val="0"/>
        <w:snapToGrid w:val="0"/>
        <w:spacing w:before="15" w:line="560" w:lineRule="exact"/>
        <w:textAlignment w:val="baseline"/>
        <w:rPr>
          <w:spacing w:val="0"/>
        </w:rPr>
      </w:pPr>
    </w:p>
    <w:p w14:paraId="357E82CE">
      <w:pPr>
        <w:keepNext w:val="0"/>
        <w:keepLines w:val="0"/>
        <w:pageBreakBefore w:val="0"/>
        <w:widowControl/>
        <w:kinsoku w:val="0"/>
        <w:wordWrap/>
        <w:overflowPunct/>
        <w:topLinePunct w:val="0"/>
        <w:autoSpaceDE w:val="0"/>
        <w:autoSpaceDN w:val="0"/>
        <w:bidi w:val="0"/>
        <w:adjustRightInd w:val="0"/>
        <w:snapToGrid w:val="0"/>
        <w:spacing w:before="15" w:line="560" w:lineRule="exact"/>
        <w:textAlignment w:val="baseline"/>
        <w:rPr>
          <w:spacing w:val="0"/>
        </w:rPr>
      </w:pPr>
    </w:p>
    <w:p w14:paraId="27FED1E5">
      <w:pPr>
        <w:keepNext w:val="0"/>
        <w:keepLines w:val="0"/>
        <w:pageBreakBefore w:val="0"/>
        <w:widowControl/>
        <w:kinsoku w:val="0"/>
        <w:wordWrap/>
        <w:overflowPunct/>
        <w:topLinePunct w:val="0"/>
        <w:autoSpaceDE w:val="0"/>
        <w:autoSpaceDN w:val="0"/>
        <w:bidi w:val="0"/>
        <w:adjustRightInd w:val="0"/>
        <w:snapToGrid w:val="0"/>
        <w:spacing w:before="15" w:line="560" w:lineRule="exact"/>
        <w:textAlignment w:val="baseline"/>
        <w:rPr>
          <w:spacing w:val="0"/>
        </w:rPr>
      </w:pPr>
    </w:p>
    <w:p w14:paraId="2BA52339">
      <w:pPr>
        <w:keepNext w:val="0"/>
        <w:keepLines w:val="0"/>
        <w:pageBreakBefore w:val="0"/>
        <w:widowControl/>
        <w:kinsoku w:val="0"/>
        <w:wordWrap/>
        <w:overflowPunct/>
        <w:topLinePunct w:val="0"/>
        <w:autoSpaceDE w:val="0"/>
        <w:autoSpaceDN w:val="0"/>
        <w:bidi w:val="0"/>
        <w:adjustRightInd w:val="0"/>
        <w:snapToGrid w:val="0"/>
        <w:spacing w:before="15" w:line="560" w:lineRule="exact"/>
        <w:textAlignment w:val="baseline"/>
        <w:rPr>
          <w:spacing w:val="0"/>
        </w:rPr>
      </w:pPr>
    </w:p>
    <w:p w14:paraId="1E505F31">
      <w:pPr>
        <w:rPr>
          <w:rFonts w:ascii="Arial"/>
          <w:sz w:val="21"/>
        </w:rPr>
      </w:pPr>
    </w:p>
    <w:sectPr>
      <w:footerReference r:id="rId5" w:type="default"/>
      <w:pgSz w:w="11910" w:h="16840"/>
      <w:pgMar w:top="2098" w:right="1587" w:bottom="2098" w:left="1587" w:header="0" w:footer="13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DC759">
    <w:pPr>
      <w:spacing w:line="177" w:lineRule="auto"/>
      <w:ind w:left="70"/>
      <w:rPr>
        <w:rFonts w:ascii="宋体" w:hAnsi="宋体" w:eastAsia="宋体" w:cs="宋体"/>
        <w:sz w:val="33"/>
        <w:szCs w:val="3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305CE7"/>
    <w:rsid w:val="00A40483"/>
    <w:rsid w:val="01422176"/>
    <w:rsid w:val="016A6FD7"/>
    <w:rsid w:val="03411AE5"/>
    <w:rsid w:val="06B01930"/>
    <w:rsid w:val="091E4474"/>
    <w:rsid w:val="0A122902"/>
    <w:rsid w:val="0A9C5D5E"/>
    <w:rsid w:val="0AE0655C"/>
    <w:rsid w:val="0B7C40A9"/>
    <w:rsid w:val="0C731DBC"/>
    <w:rsid w:val="0C8C699B"/>
    <w:rsid w:val="0D205E97"/>
    <w:rsid w:val="0F261C3B"/>
    <w:rsid w:val="0F483348"/>
    <w:rsid w:val="1065378B"/>
    <w:rsid w:val="106612B1"/>
    <w:rsid w:val="1175266B"/>
    <w:rsid w:val="15433CD7"/>
    <w:rsid w:val="15E4262B"/>
    <w:rsid w:val="16D06E7D"/>
    <w:rsid w:val="1B1620F7"/>
    <w:rsid w:val="1B612DA1"/>
    <w:rsid w:val="1D3C3104"/>
    <w:rsid w:val="1D6628F1"/>
    <w:rsid w:val="1E854FF8"/>
    <w:rsid w:val="207F650F"/>
    <w:rsid w:val="209D0D1F"/>
    <w:rsid w:val="25764C42"/>
    <w:rsid w:val="25897AC4"/>
    <w:rsid w:val="26575838"/>
    <w:rsid w:val="272741CC"/>
    <w:rsid w:val="27C070A1"/>
    <w:rsid w:val="2987431B"/>
    <w:rsid w:val="29FD282F"/>
    <w:rsid w:val="2A077678"/>
    <w:rsid w:val="2ABE5B1A"/>
    <w:rsid w:val="2D7352E2"/>
    <w:rsid w:val="2DB058AA"/>
    <w:rsid w:val="2DBD47AF"/>
    <w:rsid w:val="31E247E4"/>
    <w:rsid w:val="31E2488B"/>
    <w:rsid w:val="336D4581"/>
    <w:rsid w:val="338B248E"/>
    <w:rsid w:val="35336921"/>
    <w:rsid w:val="366A5BA0"/>
    <w:rsid w:val="37517D16"/>
    <w:rsid w:val="37896E8D"/>
    <w:rsid w:val="37D63BDD"/>
    <w:rsid w:val="38934A8A"/>
    <w:rsid w:val="393F076E"/>
    <w:rsid w:val="3C17152E"/>
    <w:rsid w:val="3C990195"/>
    <w:rsid w:val="3EF82F39"/>
    <w:rsid w:val="3EFB6465"/>
    <w:rsid w:val="408E530C"/>
    <w:rsid w:val="40CE48A0"/>
    <w:rsid w:val="40D20119"/>
    <w:rsid w:val="41A31FF7"/>
    <w:rsid w:val="462D194E"/>
    <w:rsid w:val="46F4698D"/>
    <w:rsid w:val="471825FE"/>
    <w:rsid w:val="47BC742D"/>
    <w:rsid w:val="495D72B2"/>
    <w:rsid w:val="4C63256E"/>
    <w:rsid w:val="4CFA4C80"/>
    <w:rsid w:val="4DED0341"/>
    <w:rsid w:val="503D78E7"/>
    <w:rsid w:val="504908E4"/>
    <w:rsid w:val="52864E6D"/>
    <w:rsid w:val="53AA5657"/>
    <w:rsid w:val="53B12C63"/>
    <w:rsid w:val="54DE4E87"/>
    <w:rsid w:val="56496330"/>
    <w:rsid w:val="5A113687"/>
    <w:rsid w:val="5D535CE6"/>
    <w:rsid w:val="5E4F64AE"/>
    <w:rsid w:val="5EC549C2"/>
    <w:rsid w:val="5EF0316A"/>
    <w:rsid w:val="5F69359F"/>
    <w:rsid w:val="61B01959"/>
    <w:rsid w:val="63116428"/>
    <w:rsid w:val="65696528"/>
    <w:rsid w:val="66B9305E"/>
    <w:rsid w:val="67BF4B9E"/>
    <w:rsid w:val="6CAA5B81"/>
    <w:rsid w:val="6EE80984"/>
    <w:rsid w:val="70EC5301"/>
    <w:rsid w:val="71CF7602"/>
    <w:rsid w:val="74467C0F"/>
    <w:rsid w:val="74820F33"/>
    <w:rsid w:val="750B3FCF"/>
    <w:rsid w:val="766034F6"/>
    <w:rsid w:val="79314D2C"/>
    <w:rsid w:val="79797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6"/>
      <w:szCs w:val="36"/>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3280</Words>
  <Characters>3331</Characters>
  <TotalTime>42</TotalTime>
  <ScaleCrop>false</ScaleCrop>
  <LinksUpToDate>false</LinksUpToDate>
  <CharactersWithSpaces>3333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2024-12-09T10:56:00Z</dcterms:created>
  <dc:creator>Kingsoft-PDF</dc:creator>
  <cp:lastModifiedBy>美丽心琴</cp:lastModifiedBy>
  <cp:lastPrinted>2024-12-09T09:38:00Z</cp:lastPrinted>
  <dcterms:modified xsi:type="dcterms:W3CDTF">2024-12-26T03:45:07Z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2024-12-09T10:56:48Z</vt:filetime>
  </property>
  <property fmtid="{D5CDD505-2E9C-101B-9397-08002B2CF9AE}" pid="4" name="UsrData">
    <vt:lpwstr>67565c6d0959d00020dd5de1wl</vt:lpwstr>
  </property>
  <property fmtid="{D5CDD505-2E9C-101B-9397-08002B2CF9AE}" pid="5" name="KSOProductBuildVer">
    <vt:lpwstr>2052-12.1.0.19302</vt:lpwstr>
  </property>
  <property fmtid="{D5CDD505-2E9C-101B-9397-08002B2CF9AE}" pid="6" name="ICV">
    <vt:lpwstr>831B9BE52946420BB3806F21E77C5517_13</vt:lpwstr>
  </property>
  <property fmtid="{D5CDD505-2E9C-101B-9397-08002B2CF9AE}" pid="7" name="KSOTemplateDocerSaveRecord">
    <vt:lpwstr>eyJoZGlkIjoiNmEyODQyYmNlYTg5YWZhMGYxYjFhZTRiYTRkZDMyMWUiLCJ1c2VySWQiOiI2NzMzOTY4MzQifQ==</vt:lpwstr>
  </property>
</Properties>
</file>