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36"/>
          <w:szCs w:val="36"/>
          <w:lang w:eastAsia="zh-CN"/>
        </w:rPr>
        <w:t>关于进一步支持企业数字化转型若干措施</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（征求意见稿）</w:t>
      </w:r>
    </w:p>
    <w:p>
      <w:pPr>
        <w:ind w:firstLine="640" w:firstLineChars="200"/>
        <w:jc w:val="both"/>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为贯彻落实《江西省制造业数字化转型行动计划(2024-2025年)》和《赣州市制造业数字化转型和智能化改造工作方案(2024-202</w:t>
      </w: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lang w:eastAsia="zh-CN"/>
        </w:rPr>
        <w:t>年)》，聚焦龙南制造业重点产业链现代化建设“</w:t>
      </w:r>
      <w:r>
        <w:rPr>
          <w:rFonts w:hint="eastAsia" w:ascii="宋体" w:hAnsi="宋体" w:eastAsia="仿宋_GB2312" w:cs="仿宋_GB2312"/>
          <w:sz w:val="32"/>
          <w:szCs w:val="32"/>
          <w:lang w:val="en-US" w:eastAsia="zh-CN"/>
        </w:rPr>
        <w:t>6312</w:t>
      </w:r>
      <w:r>
        <w:rPr>
          <w:rFonts w:hint="eastAsia" w:ascii="宋体" w:hAnsi="宋体" w:eastAsia="仿宋_GB2312" w:cs="仿宋_GB2312"/>
          <w:sz w:val="32"/>
          <w:szCs w:val="32"/>
          <w:lang w:eastAsia="zh-CN"/>
        </w:rPr>
        <w:t>”行动计划，引导和支持制造业数字化转型，推动全市制造业高端化、智能化、绿色化发展，提出如下措施:</w:t>
      </w:r>
    </w:p>
    <w:p>
      <w:pPr>
        <w:numPr>
          <w:numId w:val="0"/>
        </w:numPr>
        <w:ind w:firstLine="640" w:firstLineChars="200"/>
        <w:jc w:val="left"/>
        <w:rPr>
          <w:rFonts w:hint="eastAsia" w:ascii="宋体" w:hAnsi="宋体" w:eastAsia="仿宋_GB2312" w:cs="仿宋_GB2312"/>
          <w:sz w:val="32"/>
          <w:szCs w:val="32"/>
          <w:lang w:eastAsia="zh-CN"/>
        </w:rPr>
      </w:pPr>
      <w:r>
        <w:rPr>
          <w:rFonts w:hint="eastAsia" w:ascii="宋体" w:hAnsi="宋体" w:eastAsia="黑体" w:cs="黑体"/>
          <w:sz w:val="32"/>
          <w:szCs w:val="32"/>
          <w:lang w:eastAsia="zh-CN"/>
        </w:rPr>
        <w:t>一、支持制造业企业数字化转型入企诊断和提档升级</w:t>
      </w:r>
    </w:p>
    <w:p>
      <w:pPr>
        <w:numPr>
          <w:numId w:val="0"/>
        </w:numPr>
        <w:ind w:firstLine="640"/>
        <w:jc w:val="left"/>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支持企业数字化转型诊断。选取一批数字化转型服务商，为我市规模以上工业企业提供免费数字化转型诊断服务，鼓励企业根据诊断方案优化实施数字化转型，对已实施解决方案并取得成效的企业，给予数字化改造资金支持。</w:t>
      </w:r>
    </w:p>
    <w:p>
      <w:pPr>
        <w:numPr>
          <w:numId w:val="0"/>
        </w:numPr>
        <w:ind w:firstLine="640"/>
        <w:jc w:val="left"/>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以免费诊断引导规上工业企业数字化水平等级提升，每服务1家企业实现提档升级（提升至L4或L5），按1.2万元每家，给予服务商奖补（同一家企业获得市级同类资金奖补支持的，采取就高不就低原则，不重复享受）。</w:t>
      </w:r>
    </w:p>
    <w:p>
      <w:pPr>
        <w:widowControl w:val="0"/>
        <w:wordWrap/>
        <w:adjustRightInd w:val="0"/>
        <w:snapToGrid w:val="0"/>
        <w:spacing w:line="60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依据诊断结果组织企业完成数字化转型智能化改造，每家企业在现有评级基础上至少再向上升一个等级，改造升级后当年达到L6级按20万元标准给予企业奖补，达到L7级按30万元标准给予奖补，达到L8级按40万元标准给予奖补，达到L9级及以上奖补100万元。</w:t>
      </w:r>
    </w:p>
    <w:p>
      <w:pPr>
        <w:widowControl w:val="0"/>
        <w:wordWrap/>
        <w:adjustRightInd w:val="0"/>
        <w:snapToGrid w:val="0"/>
        <w:spacing w:line="600" w:lineRule="exact"/>
        <w:ind w:left="0" w:leftChars="0" w:firstLine="640" w:firstLineChars="200"/>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以省工信厅认定</w:t>
      </w:r>
      <w:r>
        <w:rPr>
          <w:rFonts w:hint="eastAsia" w:ascii="宋体" w:hAnsi="宋体" w:eastAsia="仿宋_GB2312" w:cs="仿宋_GB2312"/>
          <w:sz w:val="32"/>
          <w:szCs w:val="32"/>
          <w:highlight w:val="none"/>
          <w:lang w:val="en-US" w:eastAsia="zh-CN"/>
        </w:rPr>
        <w:t>的制造业企业</w:t>
      </w:r>
      <w:r>
        <w:rPr>
          <w:rFonts w:hint="eastAsia" w:ascii="宋体" w:hAnsi="宋体" w:eastAsia="仿宋_GB2312" w:cs="仿宋_GB2312"/>
          <w:sz w:val="32"/>
          <w:szCs w:val="32"/>
          <w:lang w:val="en-US" w:eastAsia="zh-CN"/>
        </w:rPr>
        <w:t>数字发展水平评价贯标服务机构发放等级核准证明为准，若企业通过信息化改造实现跳档升级的则按最高的奖励标准进行奖补。</w:t>
      </w:r>
    </w:p>
    <w:p>
      <w:pPr>
        <w:widowControl w:val="0"/>
        <w:wordWrap/>
        <w:adjustRightInd w:val="0"/>
        <w:snapToGrid w:val="0"/>
        <w:spacing w:line="600" w:lineRule="exact"/>
        <w:ind w:firstLine="640" w:firstLineChars="200"/>
        <w:textAlignment w:val="auto"/>
        <w:rPr>
          <w:rFonts w:hint="eastAsia" w:ascii="宋体" w:hAnsi="宋体" w:eastAsia="黑体" w:cs="黑体"/>
          <w:sz w:val="32"/>
          <w:szCs w:val="32"/>
          <w:lang w:val="en-US" w:eastAsia="zh-CN"/>
        </w:rPr>
      </w:pPr>
      <w:r>
        <w:rPr>
          <w:rFonts w:hint="eastAsia" w:ascii="宋体" w:hAnsi="宋体" w:eastAsia="仿宋_GB2312" w:cs="仿宋_GB2312"/>
          <w:sz w:val="32"/>
          <w:szCs w:val="32"/>
          <w:lang w:val="en-US" w:eastAsia="zh-CN"/>
        </w:rPr>
        <w:t>以上设定奖励为市政府对提档升级对应最高上限奖励，其中第3条措</w:t>
      </w:r>
      <w:r>
        <w:rPr>
          <w:rFonts w:hint="eastAsia" w:ascii="宋体" w:hAnsi="宋体" w:eastAsia="仿宋_GB2312" w:cs="仿宋_GB2312"/>
          <w:sz w:val="32"/>
          <w:szCs w:val="32"/>
          <w:highlight w:val="none"/>
          <w:lang w:val="en-US" w:eastAsia="zh-CN"/>
        </w:rPr>
        <w:t>施采取先到先得的原则，补助前30家实现提档升级的企业</w:t>
      </w:r>
      <w:r>
        <w:rPr>
          <w:rFonts w:hint="eastAsia" w:ascii="宋体" w:hAnsi="宋体" w:eastAsia="仿宋_GB2312" w:cs="仿宋_GB2312"/>
          <w:sz w:val="32"/>
          <w:szCs w:val="32"/>
          <w:lang w:val="en-US" w:eastAsia="zh-CN"/>
        </w:rPr>
        <w:t>，由企业自行进行数字化升级改造，改造完成后通过相关验收达到相应标准后进行申报核发。</w:t>
      </w:r>
    </w:p>
    <w:p>
      <w:pPr>
        <w:numPr>
          <w:numId w:val="0"/>
        </w:numPr>
        <w:ind w:firstLine="640" w:firstLineChars="200"/>
        <w:jc w:val="left"/>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二、支持企业数字化能力提升</w:t>
      </w:r>
    </w:p>
    <w:p>
      <w:pPr>
        <w:numPr>
          <w:numId w:val="0"/>
        </w:numPr>
        <w:ind w:firstLine="658"/>
        <w:jc w:val="left"/>
        <w:rPr>
          <w:rFonts w:hint="eastAsia" w:ascii="宋体" w:hAnsi="宋体" w:eastAsia="仿宋_GB2312" w:cs="仿宋_GB2312"/>
          <w:sz w:val="32"/>
          <w:szCs w:val="32"/>
          <w:highlight w:val="none"/>
          <w:lang w:eastAsia="zh-CN"/>
        </w:rPr>
      </w:pP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highlight w:val="none"/>
        </w:rPr>
        <w:t>对</w:t>
      </w:r>
      <w:r>
        <w:rPr>
          <w:rFonts w:hint="eastAsia" w:ascii="宋体" w:hAnsi="宋体" w:eastAsia="仿宋_GB2312" w:cs="仿宋_GB2312"/>
          <w:sz w:val="32"/>
          <w:szCs w:val="32"/>
          <w:highlight w:val="none"/>
          <w:lang w:eastAsia="zh-CN"/>
        </w:rPr>
        <w:t>成功获评</w:t>
      </w:r>
      <w:r>
        <w:rPr>
          <w:rFonts w:hint="eastAsia" w:ascii="宋体" w:hAnsi="宋体" w:eastAsia="仿宋_GB2312" w:cs="仿宋_GB2312"/>
          <w:sz w:val="32"/>
          <w:szCs w:val="32"/>
          <w:highlight w:val="none"/>
        </w:rPr>
        <w:t>省级两化融合示范企业给予一次性</w:t>
      </w:r>
      <w:r>
        <w:rPr>
          <w:rFonts w:hint="eastAsia" w:ascii="宋体" w:hAnsi="宋体" w:eastAsia="仿宋_GB2312" w:cs="仿宋_GB2312"/>
          <w:sz w:val="32"/>
          <w:szCs w:val="32"/>
          <w:highlight w:val="none"/>
          <w:lang w:val="en-US" w:eastAsia="zh-CN"/>
        </w:rPr>
        <w:t>5</w:t>
      </w:r>
      <w:r>
        <w:rPr>
          <w:rFonts w:hint="eastAsia" w:ascii="宋体" w:hAnsi="宋体" w:eastAsia="仿宋_GB2312" w:cs="仿宋_GB2312"/>
          <w:sz w:val="32"/>
          <w:szCs w:val="32"/>
          <w:highlight w:val="none"/>
        </w:rPr>
        <w:t>万元奖励。对通过国家两化融合管理体系贯标评定且达到A级、AA级、AAA级以上的企业，分别一次性给予</w:t>
      </w:r>
      <w:r>
        <w:rPr>
          <w:rFonts w:hint="eastAsia" w:ascii="宋体" w:hAnsi="宋体" w:eastAsia="仿宋_GB2312" w:cs="仿宋_GB2312"/>
          <w:sz w:val="32"/>
          <w:szCs w:val="32"/>
          <w:highlight w:val="none"/>
          <w:lang w:val="en-US" w:eastAsia="zh-CN"/>
        </w:rPr>
        <w:t>20</w:t>
      </w:r>
      <w:r>
        <w:rPr>
          <w:rFonts w:hint="eastAsia" w:ascii="宋体" w:hAnsi="宋体" w:eastAsia="仿宋_GB2312" w:cs="仿宋_GB2312"/>
          <w:sz w:val="32"/>
          <w:szCs w:val="32"/>
          <w:highlight w:val="none"/>
        </w:rPr>
        <w:t>万元、</w:t>
      </w:r>
      <w:r>
        <w:rPr>
          <w:rFonts w:hint="eastAsia" w:ascii="宋体" w:hAnsi="宋体" w:eastAsia="仿宋_GB2312" w:cs="仿宋_GB2312"/>
          <w:sz w:val="32"/>
          <w:szCs w:val="32"/>
          <w:highlight w:val="none"/>
          <w:lang w:val="en-US" w:eastAsia="zh-CN"/>
        </w:rPr>
        <w:t>25</w:t>
      </w:r>
      <w:r>
        <w:rPr>
          <w:rFonts w:hint="eastAsia" w:ascii="宋体" w:hAnsi="宋体" w:eastAsia="仿宋_GB2312" w:cs="仿宋_GB2312"/>
          <w:sz w:val="32"/>
          <w:szCs w:val="32"/>
          <w:highlight w:val="none"/>
        </w:rPr>
        <w:t>万元、</w:t>
      </w:r>
      <w:r>
        <w:rPr>
          <w:rFonts w:hint="eastAsia" w:ascii="宋体" w:hAnsi="宋体" w:eastAsia="仿宋_GB2312" w:cs="仿宋_GB2312"/>
          <w:sz w:val="32"/>
          <w:szCs w:val="32"/>
          <w:highlight w:val="none"/>
          <w:lang w:val="en-US" w:eastAsia="zh-CN"/>
        </w:rPr>
        <w:t>30</w:t>
      </w:r>
      <w:r>
        <w:rPr>
          <w:rFonts w:hint="eastAsia" w:ascii="宋体" w:hAnsi="宋体" w:eastAsia="仿宋_GB2312" w:cs="仿宋_GB2312"/>
          <w:sz w:val="32"/>
          <w:szCs w:val="32"/>
          <w:highlight w:val="none"/>
        </w:rPr>
        <w:t>万元奖励</w:t>
      </w:r>
      <w:r>
        <w:rPr>
          <w:rFonts w:hint="eastAsia" w:ascii="宋体" w:hAnsi="宋体" w:eastAsia="仿宋_GB2312" w:cs="仿宋_GB2312"/>
          <w:sz w:val="32"/>
          <w:szCs w:val="32"/>
          <w:highlight w:val="none"/>
          <w:lang w:eastAsia="zh-CN"/>
        </w:rPr>
        <w:t>。</w:t>
      </w:r>
    </w:p>
    <w:p>
      <w:pPr>
        <w:numPr>
          <w:numId w:val="0"/>
        </w:numPr>
        <w:ind w:firstLine="658"/>
        <w:jc w:val="left"/>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5.</w:t>
      </w:r>
      <w:r>
        <w:rPr>
          <w:rFonts w:hint="eastAsia" w:ascii="宋体" w:hAnsi="宋体" w:eastAsia="仿宋_GB2312" w:cs="仿宋_GB2312"/>
          <w:color w:val="auto"/>
          <w:spacing w:val="0"/>
          <w:sz w:val="32"/>
          <w:szCs w:val="32"/>
          <w:highlight w:val="none"/>
        </w:rPr>
        <w:t>对当年新认定的国家级专精特新</w:t>
      </w:r>
      <w:r>
        <w:rPr>
          <w:rFonts w:hint="eastAsia" w:ascii="宋体" w:hAnsi="宋体" w:eastAsia="仿宋_GB2312" w:cs="仿宋_GB2312"/>
          <w:color w:val="auto"/>
          <w:spacing w:val="0"/>
          <w:sz w:val="32"/>
          <w:szCs w:val="32"/>
          <w:highlight w:val="none"/>
          <w:lang w:eastAsia="zh-CN"/>
        </w:rPr>
        <w:t>“</w:t>
      </w:r>
      <w:r>
        <w:rPr>
          <w:rFonts w:hint="eastAsia" w:ascii="宋体" w:hAnsi="宋体" w:eastAsia="仿宋_GB2312" w:cs="仿宋_GB2312"/>
          <w:color w:val="auto"/>
          <w:spacing w:val="0"/>
          <w:sz w:val="32"/>
          <w:szCs w:val="32"/>
          <w:highlight w:val="none"/>
        </w:rPr>
        <w:t>小巨人”企业给予10万元的一次性奖励;对当年新认定的省级“专精特新”企业给予5万元的一次性奖励。</w:t>
      </w:r>
    </w:p>
    <w:p>
      <w:pPr>
        <w:numPr>
          <w:numId w:val="0"/>
        </w:numPr>
        <w:ind w:firstLine="640" w:firstLineChars="200"/>
        <w:jc w:val="left"/>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三、支持数字化转型示范标杆</w:t>
      </w:r>
    </w:p>
    <w:p>
      <w:pPr>
        <w:numPr>
          <w:numId w:val="0"/>
        </w:numPr>
        <w:ind w:firstLine="658"/>
        <w:jc w:val="left"/>
        <w:rPr>
          <w:rFonts w:hint="eastAsia" w:ascii="宋体" w:hAnsi="宋体" w:eastAsia="仿宋_GB2312" w:cs="仿宋_GB2312"/>
          <w:sz w:val="32"/>
          <w:szCs w:val="32"/>
          <w:highlight w:val="yellow"/>
        </w:rPr>
      </w:pPr>
      <w:r>
        <w:rPr>
          <w:rFonts w:hint="eastAsia" w:ascii="宋体" w:hAnsi="宋体" w:eastAsia="仿宋_GB2312" w:cs="仿宋_GB2312"/>
          <w:sz w:val="32"/>
          <w:szCs w:val="32"/>
          <w:highlight w:val="none"/>
          <w:lang w:val="en-US" w:eastAsia="zh-CN"/>
        </w:rPr>
        <w:t>6.</w:t>
      </w:r>
      <w:r>
        <w:rPr>
          <w:rFonts w:hint="eastAsia" w:ascii="宋体" w:hAnsi="宋体" w:eastAsia="仿宋_GB2312" w:cs="仿宋_GB2312"/>
          <w:sz w:val="32"/>
          <w:szCs w:val="32"/>
          <w:highlight w:val="none"/>
        </w:rPr>
        <w:t>支持打造数字化标杆。对获得制造业数字化转型国家级（新一代信息技术与制造业融合发展试点示范、制造业质量管理数字化典型场景和解决方案优秀案例、智能制造工厂/优秀示范场景等）、省级试点示范（“数智工厂”、“小灯塔”等）荣誉的，分别一次性给予</w:t>
      </w:r>
      <w:r>
        <w:rPr>
          <w:rFonts w:hint="eastAsia" w:ascii="宋体" w:hAnsi="宋体" w:eastAsia="仿宋_GB2312" w:cs="仿宋_GB2312"/>
          <w:sz w:val="32"/>
          <w:szCs w:val="32"/>
          <w:highlight w:val="none"/>
          <w:lang w:val="en-US" w:eastAsia="zh-CN"/>
        </w:rPr>
        <w:t>2</w:t>
      </w:r>
      <w:r>
        <w:rPr>
          <w:rFonts w:hint="eastAsia" w:ascii="宋体" w:hAnsi="宋体" w:eastAsia="仿宋_GB2312" w:cs="仿宋_GB2312"/>
          <w:sz w:val="32"/>
          <w:szCs w:val="32"/>
          <w:highlight w:val="none"/>
        </w:rPr>
        <w:t>0万元、</w:t>
      </w:r>
      <w:r>
        <w:rPr>
          <w:rFonts w:hint="eastAsia" w:ascii="宋体" w:hAnsi="宋体" w:eastAsia="仿宋_GB2312" w:cs="仿宋_GB2312"/>
          <w:sz w:val="32"/>
          <w:szCs w:val="32"/>
          <w:highlight w:val="none"/>
          <w:lang w:val="en-US" w:eastAsia="zh-CN"/>
        </w:rPr>
        <w:t>1</w:t>
      </w:r>
      <w:r>
        <w:rPr>
          <w:rFonts w:hint="eastAsia" w:ascii="宋体" w:hAnsi="宋体" w:eastAsia="仿宋_GB2312" w:cs="仿宋_GB2312"/>
          <w:sz w:val="32"/>
          <w:szCs w:val="32"/>
          <w:highlight w:val="none"/>
        </w:rPr>
        <w:t>0万元奖补。</w:t>
      </w:r>
    </w:p>
    <w:p>
      <w:pPr>
        <w:numPr>
          <w:numId w:val="0"/>
        </w:numPr>
        <w:ind w:firstLine="658"/>
        <w:jc w:val="left"/>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7.支持企业争创国家标杆。对当年被工信部认定为智能制造优秀场景、“绽放杯”5G应用征集大赛全国奖以及评为工业互联网试点示范项目和跨行业跨领域、特色型、专业型工业互联网平台的，一次性奖励10万元。</w:t>
      </w:r>
    </w:p>
    <w:p>
      <w:pPr>
        <w:numPr>
          <w:numId w:val="0"/>
        </w:numPr>
        <w:ind w:firstLine="640" w:firstLineChars="200"/>
        <w:jc w:val="left"/>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四、加强数字化转型支撑</w:t>
      </w:r>
    </w:p>
    <w:p>
      <w:pPr>
        <w:numPr>
          <w:numId w:val="0"/>
        </w:numPr>
        <w:ind w:firstLine="658"/>
        <w:jc w:val="left"/>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8</w:t>
      </w:r>
      <w:r>
        <w:rPr>
          <w:rFonts w:hint="eastAsia" w:ascii="宋体" w:hAnsi="宋体" w:eastAsia="仿宋_GB2312" w:cs="仿宋_GB2312"/>
          <w:sz w:val="32"/>
          <w:szCs w:val="32"/>
          <w:highlight w:val="none"/>
        </w:rPr>
        <w:t>.建设数字化转型促进中心。对认定为省级数字化转型促进中心的，每家给予管理单位建设补助</w:t>
      </w:r>
      <w:r>
        <w:rPr>
          <w:rFonts w:hint="eastAsia" w:ascii="宋体" w:hAnsi="宋体" w:eastAsia="仿宋_GB2312" w:cs="仿宋_GB2312"/>
          <w:sz w:val="32"/>
          <w:szCs w:val="32"/>
          <w:highlight w:val="none"/>
          <w:lang w:val="en-US" w:eastAsia="zh-CN"/>
        </w:rPr>
        <w:t>5</w:t>
      </w:r>
      <w:r>
        <w:rPr>
          <w:rFonts w:hint="eastAsia" w:ascii="宋体" w:hAnsi="宋体" w:eastAsia="仿宋_GB2312" w:cs="仿宋_GB2312"/>
          <w:sz w:val="32"/>
          <w:szCs w:val="32"/>
          <w:highlight w:val="none"/>
        </w:rPr>
        <w:t>0万元（</w:t>
      </w:r>
      <w:r>
        <w:rPr>
          <w:rFonts w:hint="eastAsia" w:ascii="宋体" w:hAnsi="宋体" w:eastAsia="仿宋_GB2312" w:cs="仿宋_GB2312"/>
          <w:sz w:val="32"/>
          <w:szCs w:val="32"/>
          <w:highlight w:val="none"/>
          <w:lang w:val="en-US" w:eastAsia="zh-CN"/>
        </w:rPr>
        <w:t>同一家单位获得省级同类资金奖补支持的，采取就高不就低原则，不重复享受</w:t>
      </w: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val="en-US" w:eastAsia="zh-CN"/>
        </w:rPr>
        <w:t>对在龙南设立并通过市级认定的数字化诊所运营主体，每家给予奖励5万元。</w:t>
      </w:r>
    </w:p>
    <w:p>
      <w:pPr>
        <w:numPr>
          <w:numId w:val="0"/>
        </w:numPr>
        <w:ind w:firstLine="658"/>
        <w:jc w:val="left"/>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val="0"/>
          <w:bCs w:val="0"/>
          <w:color w:val="auto"/>
          <w:sz w:val="32"/>
          <w:szCs w:val="32"/>
          <w:highlight w:val="none"/>
          <w:lang w:val="en-US" w:eastAsia="zh-CN"/>
        </w:rPr>
        <w:t>9.鼓励金融机构加大支持力度。鼓励银行、担保公司等金融机构设立数字化转型专项金融产品，为制造业企业提供金融支持，引导企业加大数字化转型投入。</w:t>
      </w:r>
    </w:p>
    <w:p>
      <w:pPr>
        <w:numPr>
          <w:numId w:val="0"/>
        </w:numPr>
        <w:ind w:firstLine="658"/>
        <w:jc w:val="left"/>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rPr>
        <w:t>本措施自2024年1月1日起施行，有效期至2025年12月31日，由</w:t>
      </w:r>
      <w:r>
        <w:rPr>
          <w:rFonts w:hint="eastAsia" w:ascii="宋体" w:hAnsi="宋体" w:eastAsia="仿宋_GB2312" w:cs="仿宋_GB2312"/>
          <w:sz w:val="32"/>
          <w:szCs w:val="32"/>
          <w:highlight w:val="none"/>
          <w:lang w:eastAsia="zh-CN"/>
        </w:rPr>
        <w:t>市</w:t>
      </w:r>
      <w:r>
        <w:rPr>
          <w:rFonts w:hint="eastAsia" w:ascii="宋体" w:hAnsi="宋体" w:eastAsia="仿宋_GB2312" w:cs="仿宋_GB2312"/>
          <w:sz w:val="32"/>
          <w:szCs w:val="32"/>
          <w:highlight w:val="none"/>
        </w:rPr>
        <w:t>工信局负责最终解释，</w:t>
      </w:r>
      <w:r>
        <w:rPr>
          <w:rFonts w:hint="eastAsia" w:ascii="宋体" w:hAnsi="宋体" w:eastAsia="仿宋_GB2312" w:cs="仿宋_GB2312"/>
          <w:b w:val="0"/>
          <w:bCs w:val="0"/>
          <w:color w:val="auto"/>
          <w:spacing w:val="0"/>
          <w:sz w:val="32"/>
          <w:szCs w:val="32"/>
          <w:lang w:val="en-US" w:eastAsia="zh-CN"/>
        </w:rPr>
        <w:t>原龙办发〔2022〕40号文件废止；尚处于分期兑现阶段的，按原有政策执行。</w:t>
      </w:r>
      <w:r>
        <w:rPr>
          <w:rFonts w:hint="eastAsia" w:ascii="宋体" w:hAnsi="宋体" w:eastAsia="仿宋_GB2312" w:cs="仿宋_GB2312"/>
          <w:sz w:val="32"/>
          <w:szCs w:val="32"/>
          <w:highlight w:val="none"/>
        </w:rPr>
        <w:t>原有政策与本政策措施不一致的，按本政策措施执行。本政策无法通过“免申即享”方式进行兑现的，以</w:t>
      </w:r>
      <w:r>
        <w:rPr>
          <w:rFonts w:hint="eastAsia" w:ascii="宋体" w:hAnsi="宋体" w:eastAsia="仿宋_GB2312" w:cs="仿宋_GB2312"/>
          <w:sz w:val="32"/>
          <w:szCs w:val="32"/>
          <w:highlight w:val="none"/>
          <w:lang w:eastAsia="zh-CN"/>
        </w:rPr>
        <w:t>市</w:t>
      </w:r>
      <w:r>
        <w:rPr>
          <w:rFonts w:hint="eastAsia" w:ascii="宋体" w:hAnsi="宋体" w:eastAsia="仿宋_GB2312" w:cs="仿宋_GB2312"/>
          <w:sz w:val="32"/>
          <w:szCs w:val="32"/>
          <w:highlight w:val="none"/>
        </w:rPr>
        <w:t>工信局制定的具体实施细则为准。</w:t>
      </w:r>
      <w:r>
        <w:rPr>
          <w:rFonts w:hint="eastAsia" w:ascii="宋体" w:hAnsi="宋体" w:eastAsia="仿宋_GB2312" w:cs="仿宋_GB2312"/>
          <w:sz w:val="32"/>
          <w:szCs w:val="32"/>
          <w:highlight w:val="none"/>
          <w:lang w:eastAsia="zh-CN"/>
        </w:rPr>
        <w:t>除获国家标杆外，企业各类标杆奖励选取最高一档进行奖励，不重复享受。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WI0NjQ1YmRkZjU0OWFmN2Q5OGYzZWFkZjBhZjFhNTAifQ=="/>
  </w:docVars>
  <w:rsids>
    <w:rsidRoot w:val="44F964DD"/>
    <w:rsid w:val="033C0E47"/>
    <w:rsid w:val="049D18B4"/>
    <w:rsid w:val="054144F3"/>
    <w:rsid w:val="08043188"/>
    <w:rsid w:val="0DA273CD"/>
    <w:rsid w:val="126D6927"/>
    <w:rsid w:val="16CA793F"/>
    <w:rsid w:val="27702CEA"/>
    <w:rsid w:val="2FEB33CA"/>
    <w:rsid w:val="31EC3321"/>
    <w:rsid w:val="332D48CA"/>
    <w:rsid w:val="34616BB1"/>
    <w:rsid w:val="35170C48"/>
    <w:rsid w:val="3D71784F"/>
    <w:rsid w:val="3FF616FF"/>
    <w:rsid w:val="44F964DD"/>
    <w:rsid w:val="46123CC6"/>
    <w:rsid w:val="4B9560C4"/>
    <w:rsid w:val="54A454D1"/>
    <w:rsid w:val="557B4484"/>
    <w:rsid w:val="579B2BF9"/>
    <w:rsid w:val="58305AD5"/>
    <w:rsid w:val="5BB84712"/>
    <w:rsid w:val="5C401AB5"/>
    <w:rsid w:val="5ECA3D86"/>
    <w:rsid w:val="64283A29"/>
    <w:rsid w:val="67A61834"/>
    <w:rsid w:val="67CE48E7"/>
    <w:rsid w:val="6A0E36C1"/>
    <w:rsid w:val="6A537326"/>
    <w:rsid w:val="6ACD70D8"/>
    <w:rsid w:val="70E60EF4"/>
    <w:rsid w:val="714A1640"/>
    <w:rsid w:val="75157419"/>
    <w:rsid w:val="771816DB"/>
    <w:rsid w:val="7C0466D2"/>
    <w:rsid w:val="7FDA2B2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1400</Words>
  <Characters>1466</Characters>
  <Lines>0</Lines>
  <Paragraphs>0</Paragraphs>
  <ScaleCrop>false</ScaleCrop>
  <LinksUpToDate>false</LinksUpToDate>
  <CharactersWithSpaces>0</CharactersWithSpaces>
  <Application>WPS Office_9.1.0.5155_F1E327BC-269C-435d-A152-05C5408002CA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2024-08-29T03:02:00Z</dcterms:created>
  <dc:creator>WPS_1643030889</dc:creator>
  <cp:lastModifiedBy>Administrator</cp:lastModifiedBy>
  <cp:lastPrinted>2024-10-10T04:11:00Z</cp:lastPrinted>
  <dcterms:modified xsi:type="dcterms:W3CDTF">2025-02-19T07:53:36Z</dcterms:modified>
  <dc:title>关于进一步支持企业数字化转型若干措施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y fmtid="{D5CDD505-2E9C-101B-9397-08002B2CF9AE}" pid="3" name="ICV">
    <vt:lpwstr>1891A11EA4B34901A4E86309EBA64C5B_13</vt:lpwstr>
  </property>
</Properties>
</file>