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3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临塘乡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基层政务公开与村（居）务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</w:t>
      </w:r>
    </w:p>
    <w:p w14:paraId="2901E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有效衔接制度</w:t>
      </w:r>
    </w:p>
    <w:p w14:paraId="70C354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认真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贯彻落实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党中央、国务院和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江西省人民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政府关于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全面推进基层政务公开标准化规范化工作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的决策部署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，进一步完善政务公开工作制度，推动基层政务公开向农村、社区延伸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实现基层政务公开与村（居）务公开有效衔接，结合我乡实际，制定本制度。</w:t>
      </w:r>
    </w:p>
    <w:p w14:paraId="22D638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第一条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Hans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本制度适用于临塘乡所辖的农村、社区。</w:t>
      </w:r>
    </w:p>
    <w:p w14:paraId="6EA0E2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第二条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Hans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临塘乡人民政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府是基层政务公开与村（居）务公开协同发展的监督主体，各村（居）民委员会是基层政务公开与村（居）务公开协同发展的落实责任主体。</w:t>
      </w:r>
    </w:p>
    <w:p w14:paraId="272060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第三条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Hans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Hans" w:bidi="ar"/>
        </w:rPr>
        <w:t>村（居）民委员会应当按照法律法规规定的时间、形式、程序和标准，将涉及村（居）民切身利益、本村（社区）经济社会发展的事项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Hans" w:bidi="ar"/>
        </w:rPr>
        <w:t>村（居）民普遍关心的其他事项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以及面向农村（社区）的基层政务公开信息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Hans" w:bidi="ar"/>
        </w:rPr>
        <w:t>予以公布，接受村（居）民监督。</w:t>
      </w:r>
    </w:p>
    <w:p w14:paraId="6C7E31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第四条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基层政务公开和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村（居）务公开应当坚持依法、全面、真实、及时、规范的原则，实行事前、事中、事后全过程公开，保障村（居）民的知情权、决策权、参与权和监督权。</w:t>
      </w:r>
    </w:p>
    <w:p w14:paraId="7E446B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第五条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临塘乡人民政府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要指导支持村（居）民委员会建立完善公开事项清单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公开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村级事务、党务和财务，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Hans" w:bidi="ar"/>
        </w:rPr>
        <w:t>重点公开乡村振兴、惠农政策、养老服务、社会救助、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住房保障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Hans" w:bidi="ar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就业创业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Hans" w:bidi="ar"/>
        </w:rPr>
        <w:t>等方面内容，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有效衔接基层政务公开与村（居）务公开，确保相同事项公开内容对应一致。</w:t>
      </w:r>
    </w:p>
    <w:p w14:paraId="4D8133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第六条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村级事务、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党务、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财务及面向村（居）基层政务公开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主要内容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如下：</w:t>
      </w:r>
    </w:p>
    <w:p w14:paraId="65C2CA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（一）村级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事务公开。主要包括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村（社区）简介、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村（居）民自治章程、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会议实施情况、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村（居）委选举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等村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（居）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民自治信息。</w:t>
      </w:r>
    </w:p>
    <w:p w14:paraId="5FAA63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（二）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村级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党务公开。主要包含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党组织基本情况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、党费收缴、党员制度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、党员年度评议及奖惩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和其他工作动态。</w:t>
      </w:r>
    </w:p>
    <w:p w14:paraId="3544A7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（三）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村级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财务公开。主要包括财务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计划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、集体资产管理、债权债务、资金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管理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使用情况等信息。</w:t>
      </w:r>
    </w:p>
    <w:p w14:paraId="772BB5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（四）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面向村（居）基层政务公开。包括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Hans" w:bidi="ar"/>
        </w:rPr>
        <w:t>惠农惠民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、养老服务、乡村振兴、就业创业、社会救助与福利等信息。</w:t>
      </w:r>
    </w:p>
    <w:p w14:paraId="402B7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Hans" w:bidi="ar"/>
        </w:rPr>
        <w:t>第七条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Hans" w:bidi="ar-SA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村级事务、党务、财务及面向村（居）基层政务公开时间要求如下：</w:t>
      </w:r>
    </w:p>
    <w:p w14:paraId="38C2A1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（一）根据公开内容实行月公开、季公开、年公开、及时公开；</w:t>
      </w:r>
    </w:p>
    <w:p w14:paraId="2923A9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（二）一般村（居）务事项至少每季度公开一次；</w:t>
      </w:r>
    </w:p>
    <w:p w14:paraId="0C73E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（三）集体财务往来较多的，财务收支情况应每月公开一次；</w:t>
      </w:r>
    </w:p>
    <w:p w14:paraId="2B0F79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  <w:t>（四）涉及村（居）民切身利益的重大问题以及群众关心的事项应当及时公开。</w:t>
      </w:r>
    </w:p>
    <w:p w14:paraId="6A110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第八条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村级事务、党务、财务及面向村（居）基层政务公开应符合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“确定公开内容→制作公开材料→村（居）公示栏张贴公开→村（居）民委员会留存备查→村（居）信息公开集中查阅点提供查询→档案管理室集中归档”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的基本程序。各村（居）民委员会可根据本村（社区）的实际情况，依照法律法规和政策有关要求开展具体公开工作。</w:t>
      </w:r>
    </w:p>
    <w:p w14:paraId="1DE40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第九条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村（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居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民委员会应在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村（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居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民居住相对集中、便于群众观看的地方以墙面式或立柱式设置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村（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居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公示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栏，通过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村（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居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民微信群、公众号等形式发布公开信息，实现互联网公开。</w:t>
      </w:r>
    </w:p>
    <w:p w14:paraId="65D804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第十条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村（居）民委员会要加强公示栏日常维护。公示栏外观整洁，无破损脱落，周边环境清洁。公示栏内版面布局整齐、整洁、合理，没有过期失效或无关内容，没有乱张贴的小广告。</w:t>
      </w:r>
    </w:p>
    <w:p w14:paraId="1E8ED6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第十一条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临塘乡人民政府负责对本行政区域内基层政务公开与村（居）务公开协同发展工作进行监督，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对不公开或者公开不及时的村（居）民委员会，应当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督促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及时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公开；对弄虚作假、欺瞒村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居）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民的，应当对有关责任人员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进行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bidi="ar"/>
        </w:rPr>
        <w:t>批评教育，责令其限期改正。</w:t>
      </w:r>
    </w:p>
    <w:p w14:paraId="4EE461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Hans" w:bidi="ar"/>
        </w:rPr>
        <w:t>第十二条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Hans"/>
        </w:rPr>
        <w:t xml:space="preserve"> 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本制度自公布之日起施行。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6705E7-A2D9-48B5-8447-2D2734AC8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81EEF5-7C02-4DF4-A876-FF6404DC8C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122B6C-0B25-4488-AC39-9809740D4A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MmZiMjkzYzhkZTQzZWM0NTFlOGMwZmM2YmFiNjEifQ=="/>
  </w:docVars>
  <w:rsids>
    <w:rsidRoot w:val="438C5987"/>
    <w:rsid w:val="011245B1"/>
    <w:rsid w:val="01A83C46"/>
    <w:rsid w:val="10751064"/>
    <w:rsid w:val="12D001C0"/>
    <w:rsid w:val="18C82C45"/>
    <w:rsid w:val="18EA35EF"/>
    <w:rsid w:val="1B283D33"/>
    <w:rsid w:val="1B335C93"/>
    <w:rsid w:val="1B762749"/>
    <w:rsid w:val="1D047E88"/>
    <w:rsid w:val="1D8746F6"/>
    <w:rsid w:val="2151434D"/>
    <w:rsid w:val="25C66622"/>
    <w:rsid w:val="296153C6"/>
    <w:rsid w:val="2BF70E1B"/>
    <w:rsid w:val="2F0127AE"/>
    <w:rsid w:val="31124E12"/>
    <w:rsid w:val="35AF7A4F"/>
    <w:rsid w:val="373158C6"/>
    <w:rsid w:val="390F451C"/>
    <w:rsid w:val="3C3D6ABB"/>
    <w:rsid w:val="3EB2553E"/>
    <w:rsid w:val="3FD906B1"/>
    <w:rsid w:val="40E439A9"/>
    <w:rsid w:val="42C972FA"/>
    <w:rsid w:val="438C5987"/>
    <w:rsid w:val="480E5EDB"/>
    <w:rsid w:val="48BC068F"/>
    <w:rsid w:val="4AA47B0F"/>
    <w:rsid w:val="4CA533FE"/>
    <w:rsid w:val="4E804962"/>
    <w:rsid w:val="5DE7716D"/>
    <w:rsid w:val="65850F9B"/>
    <w:rsid w:val="66CB6D77"/>
    <w:rsid w:val="6728524B"/>
    <w:rsid w:val="68C52B0E"/>
    <w:rsid w:val="6E2E7FD1"/>
    <w:rsid w:val="7A44096B"/>
    <w:rsid w:val="7E1B0AE9"/>
    <w:rsid w:val="7E80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1361</Characters>
  <Lines>0</Lines>
  <Paragraphs>0</Paragraphs>
  <TotalTime>1</TotalTime>
  <ScaleCrop>false</ScaleCrop>
  <LinksUpToDate>false</LinksUpToDate>
  <CharactersWithSpaces>1373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2024-04-11T00:52:00Z</dcterms:created>
  <dc:creator>拾柒</dc:creator>
  <cp:lastModifiedBy>杜学敏</cp:lastModifiedBy>
  <dcterms:modified xsi:type="dcterms:W3CDTF">2024-07-21T14:58:09Z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6797775E711A4C0D8B8E71BAF4644519_13</vt:lpwstr>
  </property>
</Properties>
</file>