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480" w:firstLineChars="20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本报告依据</w:t>
      </w:r>
      <w:r>
        <w:rPr>
          <w:rFonts w:hint="eastAsia" w:ascii="宋体" w:hAnsi="宋体" w:eastAsia="宋体" w:cs="宋体"/>
          <w:i w:val="0"/>
          <w:iCs w:val="0"/>
          <w:caps w:val="0"/>
          <w:color w:val="333333"/>
          <w:spacing w:val="0"/>
          <w:kern w:val="0"/>
          <w:sz w:val="24"/>
          <w:szCs w:val="24"/>
          <w:shd w:val="clear" w:fill="FFFFFF"/>
          <w:lang w:val="en-US" w:eastAsia="zh-CN" w:bidi="ar"/>
        </w:rPr>
        <w:t>省政务公开办印发的《关于转发国办公开办函[2021]30号文件做好年度报告编制发布工作的通知》（赣府公开办字[2021]8号）文件要求，由程龙镇结合有关统计数据编制。本年度报告中所列数据的统计期限自2022年1月1日起至2022年12月31日止。全文包括总体情况、主动公开政府信息情况、收到和处理政府信息公开申请情况、政府信息公开行政复议行政诉讼情况、存在的主要问题及改进情况、其他需要报告的事项。本年度报告的电子版可以从龙南市人民政府网站（程龙镇）下载。如对本报告有任何疑问，请与程龙镇人民政府办公室联系（地址：龙南市程龙镇圩镇1号，电话：0797-3533359，邮编：341700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20"/>
        <w:jc w:val="both"/>
        <w:rPr>
          <w:sz w:val="28"/>
          <w:szCs w:val="28"/>
        </w:rPr>
      </w:pPr>
      <w:r>
        <w:rPr>
          <w:rFonts w:ascii="黑体" w:hAnsi="宋体" w:eastAsia="黑体" w:cs="黑体"/>
          <w:caps w:val="0"/>
          <w:spacing w:val="0"/>
          <w:sz w:val="28"/>
          <w:szCs w:val="28"/>
          <w:bdr w:val="none" w:color="auto" w:sz="0" w:space="0"/>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right="0" w:firstLine="480"/>
        <w:jc w:val="both"/>
        <w:rPr>
          <w:rFonts w:hint="eastAsia" w:ascii="宋体" w:hAnsi="宋体" w:eastAsia="宋体" w:cs="宋体"/>
          <w:sz w:val="24"/>
          <w:szCs w:val="24"/>
        </w:rPr>
      </w:pPr>
      <w:r>
        <w:rPr>
          <w:rFonts w:hint="eastAsia" w:ascii="宋体" w:hAnsi="宋体" w:eastAsia="宋体" w:cs="宋体"/>
          <w:caps w:val="0"/>
          <w:spacing w:val="0"/>
          <w:sz w:val="24"/>
          <w:szCs w:val="24"/>
          <w:bdr w:val="none" w:color="auto" w:sz="0" w:space="0"/>
        </w:rPr>
        <w:t>2022年程龙镇坚持以习近平新时代中国特色社会主义思想为指导，深入学习贯彻党的二十大精神，严格落实《国务院办公厅印发〈关于全面推进政务公开工作的意见〉实施细则的通知》（国办发〔2016〕80号）和《国务院办公厅关于印发2022年政务公开工作要点的通知》（国办发〔2020〕17号）的要求。同时紧紧围绕省委、省政府中心工作及社会群众关注关切，着力提升政府信息公开质量，推进拓宽政府信息公开渠道，不断增强政府信息公开实效。</w:t>
      </w:r>
    </w:p>
    <w:p>
      <w:pPr>
        <w:pStyle w:val="2"/>
        <w:keepNext w:val="0"/>
        <w:keepLines w:val="0"/>
        <w:widowControl/>
        <w:suppressLineNumbers w:val="0"/>
        <w:autoSpaceDE/>
        <w:autoSpaceDN w:val="0"/>
        <w:spacing w:before="0" w:beforeAutospacing="0" w:after="0" w:afterAutospacing="0" w:line="560" w:lineRule="exact"/>
        <w:ind w:right="0" w:firstLine="241" w:firstLineChars="100"/>
        <w:jc w:val="both"/>
        <w:rPr>
          <w:rFonts w:hint="eastAsia" w:ascii="宋体" w:hAnsi="宋体" w:eastAsia="宋体" w:cs="宋体"/>
          <w:caps w:val="0"/>
          <w:spacing w:val="0"/>
          <w:sz w:val="24"/>
          <w:szCs w:val="24"/>
        </w:rPr>
      </w:pPr>
      <w:r>
        <w:rPr>
          <w:b/>
          <w:bCs/>
          <w:sz w:val="24"/>
          <w:szCs w:val="24"/>
        </w:rPr>
        <w:t>（一）强化组织领导，明确责任分工。</w:t>
      </w:r>
      <w:r>
        <w:rPr>
          <w:rFonts w:hint="eastAsia" w:ascii="宋体" w:hAnsi="宋体" w:eastAsia="宋体" w:cs="宋体"/>
          <w:caps w:val="0"/>
          <w:spacing w:val="0"/>
          <w:sz w:val="24"/>
          <w:szCs w:val="24"/>
        </w:rPr>
        <w:t>我镇把政务公开工作纳入政府重要工作日程来抓，成立了以镇长任组长、分管领导任副组长、党政办、党建办人员任成员的领导小组，办公室设在党政办，明确信息员，建立起自上而下的政务公开工作组织体系，政务公开工作责任落实到人员。</w:t>
      </w:r>
    </w:p>
    <w:p>
      <w:pPr>
        <w:pStyle w:val="2"/>
        <w:keepNext w:val="0"/>
        <w:keepLines w:val="0"/>
        <w:widowControl/>
        <w:suppressLineNumbers w:val="0"/>
        <w:autoSpaceDE/>
        <w:autoSpaceDN w:val="0"/>
        <w:spacing w:before="0" w:beforeAutospacing="0" w:after="0" w:afterAutospacing="0" w:line="560" w:lineRule="exact"/>
        <w:ind w:left="0" w:right="0" w:firstLine="241" w:firstLineChars="100"/>
        <w:jc w:val="both"/>
        <w:rPr>
          <w:rFonts w:hint="eastAsia" w:ascii="宋体" w:hAnsi="宋体" w:eastAsia="宋体" w:cs="宋体"/>
          <w:caps w:val="0"/>
          <w:spacing w:val="0"/>
          <w:sz w:val="24"/>
          <w:szCs w:val="24"/>
        </w:rPr>
      </w:pPr>
      <w:r>
        <w:rPr>
          <w:b/>
          <w:bCs/>
          <w:sz w:val="24"/>
          <w:szCs w:val="24"/>
        </w:rPr>
        <w:t>（二）规范公开载体，畅通公开渠道。</w:t>
      </w:r>
      <w:r>
        <w:rPr>
          <w:rFonts w:hint="eastAsia" w:ascii="宋体" w:hAnsi="宋体" w:eastAsia="宋体" w:cs="宋体"/>
          <w:caps w:val="0"/>
          <w:spacing w:val="0"/>
          <w:sz w:val="24"/>
          <w:szCs w:val="24"/>
        </w:rPr>
        <w:t>我镇充分利用政府门户网站做好信息公开，2022年度主动公开政府信息735条同时，充分利用网站、微信、融媒体、龙南手机报、程龙发布公众号、LED大屏、信息公告栏、标语等公众熟悉的渠道信息公开，方便群众知悉。</w:t>
      </w:r>
    </w:p>
    <w:p>
      <w:pPr>
        <w:pStyle w:val="2"/>
        <w:keepNext w:val="0"/>
        <w:keepLines w:val="0"/>
        <w:widowControl/>
        <w:suppressLineNumbers w:val="0"/>
        <w:autoSpaceDE/>
        <w:autoSpaceDN w:val="0"/>
        <w:spacing w:before="0" w:beforeAutospacing="0" w:after="0" w:afterAutospacing="0" w:line="560" w:lineRule="exact"/>
        <w:ind w:left="0" w:right="0" w:firstLine="241" w:firstLineChars="100"/>
        <w:jc w:val="both"/>
        <w:rPr>
          <w:rFonts w:hint="eastAsia" w:ascii="宋体" w:hAnsi="宋体" w:eastAsia="宋体" w:cs="宋体"/>
          <w:caps w:val="0"/>
          <w:spacing w:val="0"/>
          <w:sz w:val="24"/>
          <w:szCs w:val="24"/>
        </w:rPr>
      </w:pPr>
      <w:r>
        <w:rPr>
          <w:b/>
          <w:bCs/>
          <w:sz w:val="24"/>
          <w:szCs w:val="24"/>
        </w:rPr>
        <w:t>（三）突出公开重点，规范公开内容。</w:t>
      </w:r>
      <w:r>
        <w:rPr>
          <w:rFonts w:hint="eastAsia" w:ascii="宋体" w:hAnsi="宋体" w:eastAsia="宋体" w:cs="宋体"/>
          <w:caps w:val="0"/>
          <w:spacing w:val="0"/>
          <w:sz w:val="24"/>
          <w:szCs w:val="24"/>
        </w:rPr>
        <w:t>突出重点领域，狠抓疫情防控、粮食生产、安全生产、农村人居环境综合整治、乡村振兴、新农合、新农保、民政、计生服务等信息公开，让群众知悉政府当前的主要工作。突出“三务”公开，各行政村及时公开了计划生育、合作医疗、村级财务等方面信息，广泛接受群众监督。</w:t>
      </w:r>
    </w:p>
    <w:p>
      <w:pPr>
        <w:pStyle w:val="2"/>
        <w:keepNext w:val="0"/>
        <w:keepLines w:val="0"/>
        <w:widowControl/>
        <w:suppressLineNumbers w:val="0"/>
        <w:autoSpaceDE/>
        <w:autoSpaceDN w:val="0"/>
        <w:spacing w:before="0" w:beforeAutospacing="0" w:after="0" w:afterAutospacing="0" w:line="560" w:lineRule="exact"/>
        <w:ind w:left="0" w:right="0" w:firstLine="241" w:firstLineChars="100"/>
        <w:jc w:val="both"/>
        <w:rPr>
          <w:rFonts w:hint="eastAsia" w:ascii="宋体" w:hAnsi="宋体" w:eastAsia="宋体" w:cs="宋体"/>
          <w:caps w:val="0"/>
          <w:spacing w:val="0"/>
          <w:sz w:val="24"/>
          <w:szCs w:val="24"/>
        </w:rPr>
      </w:pPr>
      <w:bookmarkStart w:id="0" w:name="_GoBack"/>
      <w:bookmarkEnd w:id="0"/>
      <w:r>
        <w:rPr>
          <w:b/>
          <w:bCs/>
          <w:sz w:val="24"/>
          <w:szCs w:val="24"/>
        </w:rPr>
        <w:t>（四）加强公众参与，促进政民互动。</w:t>
      </w:r>
      <w:r>
        <w:rPr>
          <w:rFonts w:hint="eastAsia" w:ascii="宋体" w:hAnsi="宋体" w:eastAsia="宋体" w:cs="宋体"/>
          <w:caps w:val="0"/>
          <w:spacing w:val="0"/>
          <w:sz w:val="24"/>
          <w:szCs w:val="24"/>
        </w:rPr>
        <w:t>镇政府通过宣传手册和致广大群众的一封信，使广大群众更加积极、主动参与到经济社会发展中来，建言献策、尽智出力。针对群众提出的意见我们及时公解决措施和进展情况。通过党务政务公示栏及时将节假日值班工作人员安排及信息公布出来，便于假期全镇居民的办事及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20"/>
        <w:jc w:val="both"/>
        <w:rPr>
          <w:rFonts w:ascii="黑体" w:hAnsi="宋体" w:eastAsia="黑体" w:cs="黑体"/>
          <w:caps w:val="0"/>
          <w:spacing w:val="0"/>
          <w:sz w:val="28"/>
          <w:szCs w:val="28"/>
        </w:rPr>
      </w:pPr>
      <w:r>
        <w:rPr>
          <w:rFonts w:hint="eastAsia" w:ascii="黑体" w:hAnsi="宋体" w:eastAsia="黑体" w:cs="黑体"/>
          <w:caps w:val="0"/>
          <w:spacing w:val="0"/>
          <w:sz w:val="28"/>
          <w:szCs w:val="28"/>
          <w:lang w:val="en-US" w:eastAsia="zh-CN"/>
        </w:rPr>
        <w:t>二、主动公开政府信息情况（若无填0）</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76" w:hRule="atLeast"/>
          <w:jc w:val="center"/>
        </w:trPr>
        <w:tc>
          <w:tcPr>
            <w:tcW w:w="842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信息内容</w:t>
            </w:r>
          </w:p>
        </w:tc>
        <w:tc>
          <w:tcPr>
            <w:tcW w:w="210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本年制发件数</w:t>
            </w:r>
          </w:p>
        </w:tc>
        <w:tc>
          <w:tcPr>
            <w:tcW w:w="210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本年废止件数</w:t>
            </w:r>
          </w:p>
        </w:tc>
        <w:tc>
          <w:tcPr>
            <w:tcW w:w="210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规章</w:t>
            </w:r>
          </w:p>
        </w:tc>
        <w:tc>
          <w:tcPr>
            <w:tcW w:w="210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0</w:t>
            </w:r>
          </w:p>
        </w:tc>
        <w:tc>
          <w:tcPr>
            <w:tcW w:w="210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0</w:t>
            </w:r>
          </w:p>
        </w:tc>
        <w:tc>
          <w:tcPr>
            <w:tcW w:w="210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3" w:hRule="atLeast"/>
          <w:jc w:val="center"/>
        </w:trPr>
        <w:tc>
          <w:tcPr>
            <w:tcW w:w="210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行政规范性文件</w:t>
            </w:r>
          </w:p>
        </w:tc>
        <w:tc>
          <w:tcPr>
            <w:tcW w:w="210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0</w:t>
            </w:r>
          </w:p>
        </w:tc>
        <w:tc>
          <w:tcPr>
            <w:tcW w:w="210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0</w:t>
            </w:r>
          </w:p>
        </w:tc>
        <w:tc>
          <w:tcPr>
            <w:tcW w:w="210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信息内容</w:t>
            </w:r>
          </w:p>
        </w:tc>
        <w:tc>
          <w:tcPr>
            <w:tcW w:w="631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行政许可</w:t>
            </w:r>
          </w:p>
        </w:tc>
        <w:tc>
          <w:tcPr>
            <w:tcW w:w="631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信息内容</w:t>
            </w:r>
          </w:p>
        </w:tc>
        <w:tc>
          <w:tcPr>
            <w:tcW w:w="631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行政处罚</w:t>
            </w:r>
          </w:p>
        </w:tc>
        <w:tc>
          <w:tcPr>
            <w:tcW w:w="631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行政强制</w:t>
            </w:r>
          </w:p>
        </w:tc>
        <w:tc>
          <w:tcPr>
            <w:tcW w:w="631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jc w:val="center"/>
        </w:trPr>
        <w:tc>
          <w:tcPr>
            <w:tcW w:w="210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信息内容</w:t>
            </w:r>
          </w:p>
        </w:tc>
        <w:tc>
          <w:tcPr>
            <w:tcW w:w="6315"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7" w:hRule="atLeast"/>
          <w:jc w:val="center"/>
        </w:trPr>
        <w:tc>
          <w:tcPr>
            <w:tcW w:w="210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00"/>
              <w:jc w:val="center"/>
            </w:pPr>
            <w:r>
              <w:rPr>
                <w:rFonts w:hint="eastAsia" w:ascii="宋体" w:hAnsi="宋体" w:eastAsia="宋体" w:cs="宋体"/>
                <w:kern w:val="0"/>
                <w:sz w:val="24"/>
                <w:szCs w:val="24"/>
                <w:bdr w:val="none" w:color="auto" w:sz="0" w:space="0"/>
                <w:lang w:val="en-US" w:eastAsia="zh-CN" w:bidi="ar"/>
              </w:rPr>
              <w:t>行政事业性收费</w:t>
            </w:r>
          </w:p>
        </w:tc>
        <w:tc>
          <w:tcPr>
            <w:tcW w:w="6315"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center"/>
            </w:pPr>
            <w:r>
              <w:rPr>
                <w:rFonts w:hint="eastAsia" w:ascii="宋体" w:hAnsi="宋体" w:eastAsia="宋体" w:cs="宋体"/>
                <w:kern w:val="0"/>
                <w:sz w:val="24"/>
                <w:szCs w:val="24"/>
                <w:bdr w:val="none" w:color="auto" w:sz="0" w:space="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20"/>
        <w:jc w:val="both"/>
        <w:rPr>
          <w:rFonts w:hint="eastAsia" w:ascii="黑体" w:hAnsi="宋体" w:eastAsia="黑体" w:cs="黑体"/>
          <w:caps w:val="0"/>
          <w:spacing w:val="0"/>
          <w:sz w:val="28"/>
          <w:szCs w:val="28"/>
          <w:lang w:val="en-US" w:eastAsia="zh-CN"/>
        </w:rPr>
      </w:pPr>
      <w:r>
        <w:rPr>
          <w:rFonts w:hint="eastAsia" w:ascii="黑体" w:hAnsi="宋体" w:eastAsia="黑体" w:cs="黑体"/>
          <w:caps w:val="0"/>
          <w:spacing w:val="0"/>
          <w:sz w:val="28"/>
          <w:szCs w:val="28"/>
          <w:lang w:val="en-US" w:eastAsia="zh-CN"/>
        </w:rPr>
        <w:t>三、收到和处理政府信息公开申请情况</w:t>
      </w:r>
    </w:p>
    <w:tbl>
      <w:tblPr>
        <w:tblW w:w="97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7"/>
        <w:gridCol w:w="943"/>
        <w:gridCol w:w="3116"/>
        <w:gridCol w:w="793"/>
        <w:gridCol w:w="688"/>
        <w:gridCol w:w="688"/>
        <w:gridCol w:w="688"/>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824" w:type="dxa"/>
            <w:gridSpan w:val="3"/>
            <w:vMerge w:val="restart"/>
            <w:tcBorders>
              <w:top w:val="single" w:color="auto" w:sz="8" w:space="0"/>
              <w:left w:val="single" w:color="auto" w:sz="8" w:space="0"/>
              <w:bottom w:val="inset"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（本列数据的勾稽关系为：第一项加第二项之和，等于第三项加第四项之和）</w:t>
            </w:r>
          </w:p>
        </w:tc>
        <w:tc>
          <w:tcPr>
            <w:tcW w:w="4921" w:type="dxa"/>
            <w:gridSpan w:val="7"/>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824" w:type="dxa"/>
            <w:gridSpan w:val="3"/>
            <w:vMerge w:val="continue"/>
            <w:tcBorders>
              <w:top w:val="single" w:color="auto" w:sz="8" w:space="0"/>
              <w:left w:val="single" w:color="auto" w:sz="8" w:space="0"/>
              <w:bottom w:val="inset"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93" w:type="dxa"/>
            <w:vMerge w:val="restart"/>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自然人</w:t>
            </w:r>
          </w:p>
        </w:tc>
        <w:tc>
          <w:tcPr>
            <w:tcW w:w="3440" w:type="dxa"/>
            <w:gridSpan w:val="5"/>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法人或其他组织</w:t>
            </w:r>
          </w:p>
        </w:tc>
        <w:tc>
          <w:tcPr>
            <w:tcW w:w="688" w:type="dxa"/>
            <w:vMerge w:val="restart"/>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824" w:type="dxa"/>
            <w:gridSpan w:val="3"/>
            <w:vMerge w:val="continue"/>
            <w:tcBorders>
              <w:top w:val="single" w:color="auto" w:sz="8" w:space="0"/>
              <w:left w:val="single" w:color="auto" w:sz="8" w:space="0"/>
              <w:bottom w:val="inset"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79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pPr>
            <w:r>
              <w:rPr>
                <w:rFonts w:hint="eastAsia" w:ascii="宋体" w:hAnsi="宋体" w:eastAsia="宋体" w:cs="宋体"/>
                <w:kern w:val="0"/>
                <w:sz w:val="24"/>
                <w:szCs w:val="24"/>
                <w:bdr w:val="none" w:color="auto" w:sz="0" w:space="0"/>
                <w:lang w:val="en-US" w:eastAsia="zh-CN" w:bidi="ar"/>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pPr>
            <w:r>
              <w:rPr>
                <w:rFonts w:hint="eastAsia" w:ascii="宋体" w:hAnsi="宋体" w:eastAsia="宋体" w:cs="宋体"/>
                <w:kern w:val="0"/>
                <w:sz w:val="24"/>
                <w:szCs w:val="24"/>
                <w:bdr w:val="none" w:color="auto" w:sz="0" w:space="0"/>
                <w:lang w:val="en-US" w:eastAsia="zh-CN" w:bidi="ar"/>
              </w:rPr>
              <w:t>企业</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pPr>
            <w:r>
              <w:rPr>
                <w:rFonts w:hint="eastAsia" w:ascii="宋体" w:hAnsi="宋体" w:eastAsia="宋体" w:cs="宋体"/>
                <w:kern w:val="0"/>
                <w:sz w:val="24"/>
                <w:szCs w:val="24"/>
                <w:bdr w:val="none" w:color="auto" w:sz="0" w:space="0"/>
                <w:lang w:val="en-US" w:eastAsia="zh-CN" w:bidi="ar"/>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pPr>
            <w:r>
              <w:rPr>
                <w:rFonts w:hint="eastAsia" w:ascii="宋体" w:hAnsi="宋体" w:eastAsia="宋体" w:cs="宋体"/>
                <w:kern w:val="0"/>
                <w:sz w:val="24"/>
                <w:szCs w:val="24"/>
                <w:bdr w:val="none" w:color="auto" w:sz="0" w:space="0"/>
                <w:lang w:val="en-US" w:eastAsia="zh-CN" w:bidi="ar"/>
              </w:rPr>
              <w:t>机构</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pPr>
            <w:r>
              <w:rPr>
                <w:rFonts w:hint="eastAsia" w:ascii="宋体" w:hAnsi="宋体" w:eastAsia="宋体" w:cs="宋体"/>
                <w:kern w:val="0"/>
                <w:sz w:val="24"/>
                <w:szCs w:val="24"/>
                <w:bdr w:val="none" w:color="auto" w:sz="0" w:space="0"/>
                <w:lang w:val="en-US" w:eastAsia="zh-CN" w:bidi="ar"/>
              </w:rPr>
              <w:t>社会公益组织</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pPr>
            <w:r>
              <w:rPr>
                <w:rFonts w:hint="eastAsia" w:ascii="宋体" w:hAnsi="宋体" w:eastAsia="宋体" w:cs="宋体"/>
                <w:kern w:val="0"/>
                <w:sz w:val="24"/>
                <w:szCs w:val="24"/>
                <w:bdr w:val="none" w:color="auto" w:sz="0" w:space="0"/>
                <w:lang w:val="en-US" w:eastAsia="zh-CN" w:bidi="ar"/>
              </w:rPr>
              <w:t>法律服务机构</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pPr>
            <w:r>
              <w:rPr>
                <w:rFonts w:hint="eastAsia" w:ascii="宋体" w:hAnsi="宋体" w:eastAsia="宋体" w:cs="宋体"/>
                <w:kern w:val="0"/>
                <w:sz w:val="24"/>
                <w:szCs w:val="24"/>
                <w:bdr w:val="none" w:color="auto" w:sz="0" w:space="0"/>
                <w:lang w:val="en-US" w:eastAsia="zh-CN" w:bidi="ar"/>
              </w:rPr>
              <w:t>其他</w:t>
            </w:r>
          </w:p>
        </w:tc>
        <w:tc>
          <w:tcPr>
            <w:tcW w:w="688" w:type="dxa"/>
            <w:vMerge w:val="continue"/>
            <w:tcBorders>
              <w:top w:val="nil"/>
              <w:left w:val="nil"/>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824"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一、本年新收政府信息公开申请数量</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824"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二、上年结转政府信息公开申请数量</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restart"/>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三、本年度办理结果</w:t>
            </w:r>
          </w:p>
        </w:tc>
        <w:tc>
          <w:tcPr>
            <w:tcW w:w="4057"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（一）予以公开</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4057"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（二）部分公开（区分处理的，只计这一情形，不计其他情形）</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restart"/>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（三）不予公开</w:t>
            </w: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1.属于国家秘密</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2.其他法律行政法规禁止公开</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3.危及“三安全一稳定”</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4.保护第三方合法权益</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5.属于三类内部事务信息</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6.属于四类过程性信息</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7.属于行政执法案卷</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8.属于行政查询事项</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restart"/>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（四）无法提供</w:t>
            </w: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1.本机关不掌握相关政府信息</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2.没有现成信息需要另行制作</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3.补正后申请内容仍不明确</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restart"/>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（五）不予处理</w:t>
            </w: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1.信访举报投诉类申请</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2.重复申请</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3.要求提供公开出版物</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4.无正当理由大量反复申请</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5.要求行政机关确认或重新出具已获取信息</w:t>
            </w:r>
          </w:p>
        </w:tc>
        <w:tc>
          <w:tcPr>
            <w:tcW w:w="793" w:type="dxa"/>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inset"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restart"/>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（六）其他处理</w:t>
            </w: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1.申请人无正当理由逾期不补正、行政机关不再处理其政府信息公开申请</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2.申请人逾期未按收费通知要求缴纳费用、行政机关不再处理其政府信息公开申请</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943"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31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3.其他</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4057"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（七）总计</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824"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pPr>
            <w:r>
              <w:rPr>
                <w:rFonts w:hint="eastAsia" w:ascii="宋体" w:hAnsi="宋体" w:eastAsia="宋体" w:cs="宋体"/>
                <w:kern w:val="0"/>
                <w:sz w:val="24"/>
                <w:szCs w:val="24"/>
                <w:bdr w:val="none" w:color="auto" w:sz="0" w:space="0"/>
                <w:lang w:val="en-US" w:eastAsia="zh-CN" w:bidi="ar"/>
              </w:rPr>
              <w:t>四、结转下年度继续办理</w:t>
            </w:r>
          </w:p>
        </w:tc>
        <w:tc>
          <w:tcPr>
            <w:tcW w:w="79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20"/>
        <w:jc w:val="both"/>
        <w:rPr>
          <w:rFonts w:hint="eastAsia" w:ascii="黑体" w:hAnsi="宋体" w:eastAsia="黑体" w:cs="黑体"/>
          <w:caps w:val="0"/>
          <w:spacing w:val="0"/>
          <w:sz w:val="28"/>
          <w:szCs w:val="28"/>
          <w:lang w:val="en-US" w:eastAsia="zh-CN"/>
        </w:rPr>
      </w:pPr>
      <w:r>
        <w:rPr>
          <w:rFonts w:hint="eastAsia" w:ascii="黑体" w:hAnsi="宋体" w:eastAsia="黑体" w:cs="黑体"/>
          <w:caps w:val="0"/>
          <w:spacing w:val="0"/>
          <w:sz w:val="28"/>
          <w:szCs w:val="28"/>
          <w:lang w:val="en-US" w:eastAsia="zh-CN"/>
        </w:rPr>
        <w:t>四、因政府信息公开工作被申请行政复议、提起行政诉讼情况</w:t>
      </w:r>
    </w:p>
    <w:tbl>
      <w:tblPr>
        <w:tblW w:w="97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1"/>
        <w:gridCol w:w="651"/>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行政复议</w:t>
            </w:r>
          </w:p>
        </w:tc>
        <w:tc>
          <w:tcPr>
            <w:tcW w:w="6498"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结果维持</w:t>
            </w:r>
          </w:p>
        </w:tc>
        <w:tc>
          <w:tcPr>
            <w:tcW w:w="64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结果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纠正</w:t>
            </w:r>
          </w:p>
        </w:tc>
        <w:tc>
          <w:tcPr>
            <w:tcW w:w="64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其他</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结果</w:t>
            </w:r>
          </w:p>
        </w:tc>
        <w:tc>
          <w:tcPr>
            <w:tcW w:w="64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尚未</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审结</w:t>
            </w:r>
          </w:p>
        </w:tc>
        <w:tc>
          <w:tcPr>
            <w:tcW w:w="649"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总计</w:t>
            </w:r>
          </w:p>
        </w:tc>
        <w:tc>
          <w:tcPr>
            <w:tcW w:w="3248" w:type="dxa"/>
            <w:gridSpan w:val="5"/>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未经复议直接起诉</w:t>
            </w:r>
          </w:p>
        </w:tc>
        <w:tc>
          <w:tcPr>
            <w:tcW w:w="3250" w:type="dxa"/>
            <w:gridSpan w:val="5"/>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结果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维持</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结果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纠正</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其他</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结果</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尚未</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审结</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总计</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结果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维持</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结果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纠正</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其他</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结果</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尚未</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审结</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pPr>
            <w:r>
              <w:rPr>
                <w:rFonts w:hint="eastAsia" w:ascii="宋体" w:hAnsi="宋体" w:eastAsia="宋体" w:cs="宋体"/>
                <w:kern w:val="0"/>
                <w:sz w:val="24"/>
                <w:szCs w:val="24"/>
                <w:bdr w:val="none" w:color="auto" w:sz="0" w:space="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both"/>
      </w:pPr>
      <w:r>
        <w:rPr>
          <w:rFonts w:hint="eastAsia" w:ascii="仿宋" w:hAnsi="仿宋" w:eastAsia="仿宋" w:cs="仿宋"/>
          <w:b w:val="0"/>
          <w:bCs w:val="0"/>
          <w:caps w:val="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20"/>
        <w:jc w:val="both"/>
        <w:rPr>
          <w:rFonts w:hint="eastAsia" w:ascii="黑体" w:hAnsi="宋体" w:eastAsia="黑体" w:cs="黑体"/>
          <w:caps w:val="0"/>
          <w:spacing w:val="0"/>
          <w:sz w:val="28"/>
          <w:szCs w:val="28"/>
          <w:lang w:val="en-US" w:eastAsia="zh-CN"/>
        </w:rPr>
      </w:pPr>
      <w:r>
        <w:rPr>
          <w:rFonts w:hint="eastAsia" w:ascii="黑体" w:hAnsi="宋体" w:eastAsia="黑体" w:cs="黑体"/>
          <w:caps w:val="0"/>
          <w:spacing w:val="0"/>
          <w:sz w:val="28"/>
          <w:szCs w:val="28"/>
          <w:lang w:val="en-US" w:eastAsia="zh-CN"/>
        </w:rPr>
        <w:t>五、存在的主要问题及改进情况</w:t>
      </w:r>
    </w:p>
    <w:p>
      <w:pPr>
        <w:pStyle w:val="2"/>
        <w:keepNext w:val="0"/>
        <w:keepLines w:val="0"/>
        <w:widowControl/>
        <w:suppressLineNumbers w:val="0"/>
        <w:autoSpaceDE/>
        <w:autoSpaceDN w:val="0"/>
        <w:spacing w:before="0" w:beforeAutospacing="0" w:after="0" w:afterAutospacing="0" w:line="560" w:lineRule="exact"/>
        <w:ind w:left="0" w:right="0" w:firstLine="480" w:firstLineChars="200"/>
        <w:jc w:val="both"/>
      </w:pPr>
      <w:r>
        <w:rPr>
          <w:sz w:val="24"/>
          <w:szCs w:val="24"/>
        </w:rPr>
        <w:t>2022年，我镇政府信息公开工作虽取得了一定的成绩，但也存在一些困难和问题，主要为：部分领导干部对政府信息公开重要性认识还不深，信息公开质量还不高，偶尔会有错别字出现，信息发布时效不强等。下一步，我镇将在以下几个方面加以改进和提高：</w:t>
      </w:r>
    </w:p>
    <w:p>
      <w:pPr>
        <w:pStyle w:val="2"/>
        <w:keepNext w:val="0"/>
        <w:keepLines w:val="0"/>
        <w:widowControl/>
        <w:suppressLineNumbers w:val="0"/>
        <w:autoSpaceDE/>
        <w:autoSpaceDN w:val="0"/>
        <w:spacing w:before="0" w:beforeAutospacing="0" w:after="0" w:afterAutospacing="0" w:line="560" w:lineRule="exact"/>
        <w:ind w:left="0" w:right="0" w:firstLine="482" w:firstLineChars="200"/>
        <w:jc w:val="both"/>
      </w:pPr>
      <w:r>
        <w:rPr>
          <w:b/>
          <w:bCs/>
          <w:sz w:val="24"/>
          <w:szCs w:val="24"/>
        </w:rPr>
        <w:t>（一）加强业务培训，提高思想认识。</w:t>
      </w:r>
      <w:r>
        <w:rPr>
          <w:b w:val="0"/>
          <w:bCs w:val="0"/>
          <w:sz w:val="24"/>
          <w:szCs w:val="24"/>
        </w:rPr>
        <w:t>加强对业务工作人员的教育培训，提高思想认识，充分认识政务公开的重要意义。推行政务公开,是强化对权力的制约监督,建立健全惩治和预防腐败体系的重要内容。推行政务公开,增强政府工作的透明度,把政府行使权力的行为置于广大人民群众的监督下。层层落实责任</w:t>
      </w:r>
      <w:r>
        <w:rPr>
          <w:sz w:val="24"/>
          <w:szCs w:val="24"/>
        </w:rPr>
        <w:t>到人，实现政府信息公开的常态化，建立起各负其责、运转协调的长效机制。</w:t>
      </w:r>
    </w:p>
    <w:p>
      <w:pPr>
        <w:pStyle w:val="2"/>
        <w:keepNext w:val="0"/>
        <w:keepLines w:val="0"/>
        <w:widowControl/>
        <w:suppressLineNumbers w:val="0"/>
        <w:autoSpaceDE/>
        <w:autoSpaceDN w:val="0"/>
        <w:spacing w:before="0" w:beforeAutospacing="0" w:after="0" w:afterAutospacing="0" w:line="560" w:lineRule="exact"/>
        <w:ind w:left="0" w:right="0" w:firstLine="482" w:firstLineChars="200"/>
        <w:jc w:val="both"/>
      </w:pPr>
      <w:r>
        <w:rPr>
          <w:b/>
          <w:bCs/>
          <w:sz w:val="24"/>
          <w:szCs w:val="24"/>
        </w:rPr>
        <w:t>（二）严格三审三校，规范政务公开内容。</w:t>
      </w:r>
      <w:r>
        <w:rPr>
          <w:sz w:val="24"/>
          <w:szCs w:val="24"/>
        </w:rPr>
        <w:t>严格落实“三审三校”制度，严格规范政务公开内容，提高政务公开实效。紧紧围绕方便群众办事、规范行政行为、提高工作效能、打造“五型政府”的目标，不断提高政府信息公开整体水平和效率；深入了解广大群众的呼声和要求，进一步依法推进社会关注度高、社会热点、重点领域的信息公开；开拓创新政民互动手段和途径，及时回应社会关切，提升政府有效处置社会舆情和突发事件的能力和水平。</w:t>
      </w:r>
    </w:p>
    <w:p>
      <w:pPr>
        <w:pStyle w:val="2"/>
        <w:keepNext w:val="0"/>
        <w:keepLines w:val="0"/>
        <w:widowControl/>
        <w:suppressLineNumbers w:val="0"/>
        <w:autoSpaceDE/>
        <w:autoSpaceDN w:val="0"/>
        <w:spacing w:before="0" w:beforeAutospacing="0" w:after="0" w:afterAutospacing="0" w:line="560" w:lineRule="exact"/>
        <w:ind w:left="0" w:right="0" w:firstLine="482" w:firstLineChars="200"/>
        <w:jc w:val="both"/>
      </w:pPr>
      <w:r>
        <w:rPr>
          <w:b/>
          <w:bCs/>
          <w:sz w:val="24"/>
          <w:szCs w:val="24"/>
        </w:rPr>
        <w:t>（三）强化监督检查，提升政务公开实效。</w:t>
      </w:r>
      <w:r>
        <w:rPr>
          <w:sz w:val="24"/>
          <w:szCs w:val="24"/>
        </w:rPr>
        <w:t>坚持开展督办检查和每月一通报制度，发现问题及时督促整改。接受人大代表、政协委员、人民群众等社会各界的监督，确保政府信息公开及时、规范、真实、有效，全面提高政府信息公开工作的质量和水平。</w:t>
      </w:r>
    </w:p>
    <w:p>
      <w:pPr>
        <w:pStyle w:val="2"/>
        <w:keepNext w:val="0"/>
        <w:keepLines w:val="0"/>
        <w:widowControl/>
        <w:suppressLineNumbers w:val="0"/>
        <w:autoSpaceDE/>
        <w:autoSpaceDN w:val="0"/>
        <w:spacing w:before="0" w:beforeAutospacing="0" w:after="0" w:afterAutospacing="0" w:line="560" w:lineRule="exact"/>
        <w:ind w:left="0" w:right="0" w:firstLine="480" w:firstLineChars="200"/>
        <w:jc w:val="both"/>
      </w:pPr>
      <w:r>
        <w:rPr>
          <w:rFonts w:hint="eastAsia" w:ascii="黑体" w:hAnsi="宋体" w:eastAsia="黑体" w:cs="黑体"/>
          <w:sz w:val="24"/>
          <w:szCs w:val="24"/>
        </w:rPr>
        <w:t>六、其他需要报告的事项</w:t>
      </w:r>
    </w:p>
    <w:p>
      <w:pPr>
        <w:pStyle w:val="2"/>
        <w:keepNext w:val="0"/>
        <w:keepLines w:val="0"/>
        <w:widowControl/>
        <w:suppressLineNumbers w:val="0"/>
        <w:autoSpaceDE/>
        <w:autoSpaceDN w:val="0"/>
        <w:spacing w:before="0" w:beforeAutospacing="0" w:after="0" w:afterAutospacing="0" w:line="560" w:lineRule="exact"/>
        <w:ind w:left="0" w:right="0" w:firstLine="480" w:firstLineChars="200"/>
        <w:jc w:val="both"/>
      </w:pPr>
      <w:r>
        <w:rPr>
          <w:sz w:val="24"/>
          <w:szCs w:val="24"/>
        </w:rPr>
        <w:t>按照《国务院办公厅关于印发&lt;政府信息公开信息处理费管理办法&gt;的通知》（国办函【2020】109号）规定的按件、按量收费标准，本年度未产生信息公开处理费。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NzI2YjUwMDAyOTQ3N2Q1NDI0NWY5ZTNjN2I1YmUifQ=="/>
  </w:docVars>
  <w:rsids>
    <w:rsidRoot w:val="5D7719E9"/>
    <w:rsid w:val="5D77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市府办</Company>
  <Pages>1</Pages>
  <Words>0</Words>
  <Characters>0</Characters>
  <Lines>0</Lines>
  <Paragraphs>0</Paragraphs>
  <TotalTime>29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2023-12-12T01:42:00Z</dcterms:created>
  <dc:creator>Administrator</dc:creator>
  <cp:lastModifiedBy>Administrator</cp:lastModifiedBy>
  <dcterms:modified xsi:type="dcterms:W3CDTF">2023-12-12T02:19:24Z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2A3C74845A144218BBA8740DDF3DCF77_11</vt:lpwstr>
  </property>
</Properties>
</file>