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60" w:lineRule="exact"/>
        <w:jc w:val="center"/>
        <w:rPr>
          <w:rFonts w:ascii="黑体" w:hAnsi="黑体" w:eastAsia="黑体" w:cs="宋体"/>
          <w:color w:val="333333"/>
          <w:sz w:val="28"/>
          <w:szCs w:val="28"/>
        </w:rPr>
      </w:pPr>
      <w:r>
        <w:rPr>
          <w:rFonts w:hint="eastAsia" w:ascii="黑体" w:hAnsi="黑体" w:eastAsia="黑体" w:cs="宋体"/>
          <w:b/>
          <w:color w:val="333333"/>
          <w:sz w:val="28"/>
          <w:szCs w:val="28"/>
          <w:shd w:val="clear" w:color="auto" w:fill="FFFFFF"/>
        </w:rPr>
        <w:t>龙南市行政审批局2</w:t>
      </w:r>
      <w:r>
        <w:rPr>
          <w:rFonts w:ascii="黑体" w:hAnsi="黑体" w:eastAsia="黑体" w:cs="宋体"/>
          <w:b/>
          <w:color w:val="333333"/>
          <w:sz w:val="28"/>
          <w:szCs w:val="28"/>
          <w:shd w:val="clear" w:color="auto" w:fill="FFFFFF"/>
        </w:rPr>
        <w:t>02</w:t>
      </w:r>
      <w:r>
        <w:rPr>
          <w:rFonts w:hint="eastAsia" w:ascii="黑体" w:hAnsi="黑体" w:eastAsia="黑体" w:cs="宋体"/>
          <w:b/>
          <w:color w:val="333333"/>
          <w:sz w:val="28"/>
          <w:szCs w:val="28"/>
          <w:shd w:val="clear" w:color="auto" w:fill="FFFFFF"/>
          <w:lang w:val="en-US" w:eastAsia="zh-CN"/>
        </w:rPr>
        <w:t>1</w:t>
      </w:r>
      <w:r>
        <w:rPr>
          <w:rFonts w:hint="eastAsia" w:ascii="黑体" w:hAnsi="黑体" w:eastAsia="黑体" w:cs="宋体"/>
          <w:b/>
          <w:color w:val="333333"/>
          <w:sz w:val="28"/>
          <w:szCs w:val="28"/>
          <w:shd w:val="clear" w:color="auto" w:fill="FFFFFF"/>
        </w:rPr>
        <w:t>年政府信息公开工作年度报告</w:t>
      </w:r>
    </w:p>
    <w:p>
      <w:pPr>
        <w:pStyle w:val="4"/>
        <w:widowControl/>
        <w:shd w:val="clear" w:color="auto" w:fill="FFFFFF"/>
        <w:spacing w:beforeAutospacing="0" w:afterAutospacing="0" w:line="560" w:lineRule="exact"/>
        <w:ind w:firstLine="420"/>
        <w:jc w:val="both"/>
        <w:rPr>
          <w:rFonts w:ascii="宋体" w:hAnsi="宋体" w:eastAsia="宋体" w:cs="宋体"/>
          <w:color w:val="333333"/>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r>
        <w:rPr>
          <w:rFonts w:hint="eastAsia" w:asciiTheme="minorEastAsia" w:hAnsiTheme="minorEastAsia"/>
          <w:sz w:val="24"/>
        </w:rPr>
        <w:t>本报告依据《中华人民共和国政府信息公开条例》（国务院令第711号，以下简称新《条例》）和《国务院办公厅政府信息与政务公开办公室关于政府信息公开工作年度报告有关事项的通知》（国办公开办函〔2019〕60号）要求，由龙南市行政审批局结合有关统计数据编制。本年度报告中所列数据的统计期限自202</w:t>
      </w:r>
      <w:r>
        <w:rPr>
          <w:rFonts w:hint="eastAsia" w:asciiTheme="minorEastAsia" w:hAnsiTheme="minorEastAsia"/>
          <w:sz w:val="24"/>
          <w:lang w:val="en-US" w:eastAsia="zh-CN"/>
        </w:rPr>
        <w:t>1</w:t>
      </w:r>
      <w:r>
        <w:rPr>
          <w:rFonts w:hint="eastAsia" w:asciiTheme="minorEastAsia" w:hAnsiTheme="minorEastAsia"/>
          <w:sz w:val="24"/>
        </w:rPr>
        <w:t>年1月1日起至202</w:t>
      </w:r>
      <w:r>
        <w:rPr>
          <w:rFonts w:asciiTheme="minorEastAsia" w:hAnsiTheme="minorEastAsia"/>
          <w:sz w:val="24"/>
        </w:rPr>
        <w:t>1</w:t>
      </w:r>
      <w:r>
        <w:rPr>
          <w:rFonts w:hint="eastAsia" w:asciiTheme="minorEastAsia" w:hAnsiTheme="minorEastAsia"/>
          <w:sz w:val="24"/>
        </w:rPr>
        <w:t>年12月31日止。全文包括总体情况、主动公开政府信息情况、收到和处理政府信息公开申请情况、政府信息公开行政复议行政诉讼情况、存在的主要问题及改进情况、其他需要报告的事项。本年度报告的电子版可以从龙南市人民政府网站（http://www.jxln.gov.cn/）下载。如对本报告有任何疑问，请与龙南市行政审批局联系（地址：龙南市</w:t>
      </w:r>
      <w:r>
        <w:rPr>
          <w:rFonts w:hint="eastAsia" w:asciiTheme="minorEastAsia" w:hAnsiTheme="minorEastAsia"/>
          <w:sz w:val="24"/>
          <w:lang w:val="en-US" w:eastAsia="zh-CN"/>
        </w:rPr>
        <w:t>政务</w:t>
      </w:r>
      <w:r>
        <w:rPr>
          <w:rFonts w:hint="eastAsia" w:asciiTheme="minorEastAsia" w:hAnsiTheme="minorEastAsia"/>
          <w:sz w:val="24"/>
        </w:rPr>
        <w:t>服务中心七楼，电话：07973529662，邮编：341700）。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r>
        <w:rPr>
          <w:rFonts w:hint="eastAsia" w:asciiTheme="minorEastAsia" w:hAnsiTheme="minorEastAsia"/>
          <w:sz w:val="24"/>
        </w:rPr>
        <w:t>202</w:t>
      </w:r>
      <w:r>
        <w:rPr>
          <w:rFonts w:hint="eastAsia" w:asciiTheme="minorEastAsia" w:hAnsiTheme="minorEastAsia"/>
          <w:sz w:val="24"/>
          <w:lang w:val="en-US" w:eastAsia="zh-CN"/>
        </w:rPr>
        <w:t>1</w:t>
      </w:r>
      <w:r>
        <w:rPr>
          <w:rFonts w:hint="eastAsia" w:asciiTheme="minorEastAsia" w:hAnsiTheme="minorEastAsia"/>
          <w:sz w:val="24"/>
        </w:rPr>
        <w:t>年龙南市行政审批局坚持以习近平新时代中国特色社会主义思想为指导，深入贯彻党的十九大、十九届一中、二中、三中、四中、五中全会精神，紧紧围绕经济社会发展和群众关注关切的焦点热点问题，深化政务服务领域“放管服”改革，加强政务服务领域信息公开、发布、解读，着力提升政务服务信息公开质量，不断增强政务服务信息公开实效。</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Theme="minorEastAsia" w:hAnsiTheme="minorEastAsia"/>
          <w:b/>
          <w:bCs/>
          <w:sz w:val="24"/>
        </w:rPr>
      </w:pPr>
      <w:r>
        <w:rPr>
          <w:rFonts w:hint="eastAsia" w:asciiTheme="minorEastAsia" w:hAnsiTheme="minorEastAsia"/>
          <w:b/>
          <w:bCs/>
          <w:sz w:val="24"/>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打造“龙易办”营商品牌，全力加快融湾步伐。</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出台工作意见。</w:t>
      </w:r>
      <w:r>
        <w:rPr>
          <w:rFonts w:hint="eastAsia" w:ascii="宋体" w:hAnsi="宋体" w:eastAsia="宋体" w:cs="宋体"/>
          <w:sz w:val="24"/>
          <w:szCs w:val="24"/>
        </w:rPr>
        <w:t>为提升企业满意度，跑出服务加速度，市委市政府提出打造“龙易办”营商品牌，出台了《关于打造“龙易办”营商品牌的工作意见》。意见全方位贯彻“大湾区能做的，我们也要能做到”要求，以审批提速增效为关键，以补齐要素短板为重点，以提升服务质效为保障，研究提出了深化工程建设项目审批制度改革、兑现惠企政策、推进通关便利、提升政务服务水平等15条具体举措。</w:t>
      </w:r>
      <w:r>
        <w:rPr>
          <w:rFonts w:hint="eastAsia" w:ascii="宋体" w:hAnsi="宋体" w:eastAsia="宋体" w:cs="宋体"/>
          <w:b/>
          <w:sz w:val="24"/>
          <w:szCs w:val="24"/>
        </w:rPr>
        <w:t>提升惠企政策兑现效率。</w:t>
      </w:r>
      <w:r>
        <w:rPr>
          <w:rFonts w:hint="eastAsia" w:ascii="宋体" w:hAnsi="宋体" w:eastAsia="宋体" w:cs="宋体"/>
          <w:sz w:val="24"/>
          <w:szCs w:val="24"/>
        </w:rPr>
        <w:t>为加快落实企业政策兑现工作，助力企业更快、更好发展，我市成立了龙南市惠企政策兑现工作领导小组，并出台了《龙南市惠企政策兑现工作办法（试行）》。目前，已兑现一批惠企政策。</w:t>
      </w:r>
      <w:r>
        <w:rPr>
          <w:rFonts w:hint="eastAsia" w:ascii="宋体" w:hAnsi="宋体" w:eastAsia="宋体" w:cs="宋体"/>
          <w:b/>
          <w:color w:val="auto"/>
          <w:sz w:val="24"/>
          <w:szCs w:val="24"/>
        </w:rPr>
        <w:t>推进乡镇综合便民服务中心标准化建设。</w:t>
      </w:r>
      <w:r>
        <w:rPr>
          <w:rFonts w:hint="eastAsia" w:ascii="宋体" w:hAnsi="宋体" w:eastAsia="宋体" w:cs="宋体"/>
          <w:color w:val="auto"/>
          <w:kern w:val="0"/>
          <w:sz w:val="24"/>
          <w:szCs w:val="24"/>
        </w:rPr>
        <w:t>加快提升基层便民服务规范化、标准化、便利化、数字化水平，</w:t>
      </w:r>
      <w:r>
        <w:rPr>
          <w:rFonts w:hint="eastAsia" w:ascii="宋体" w:hAnsi="宋体" w:eastAsia="宋体" w:cs="宋体"/>
          <w:color w:val="auto"/>
          <w:kern w:val="0"/>
          <w:sz w:val="24"/>
          <w:szCs w:val="24"/>
          <w:lang w:val="en-US" w:eastAsia="zh-CN"/>
        </w:rPr>
        <w:t>全力推动了各乡镇开展便民服务中心标准化建设。</w:t>
      </w:r>
      <w:r>
        <w:rPr>
          <w:rFonts w:hint="eastAsia" w:ascii="宋体" w:hAnsi="宋体" w:eastAsia="宋体" w:cs="宋体"/>
          <w:b/>
          <w:sz w:val="24"/>
          <w:szCs w:val="24"/>
        </w:rPr>
        <w:t>推行企业首套公章免费刊刻。</w:t>
      </w:r>
      <w:r>
        <w:rPr>
          <w:rFonts w:hint="eastAsia" w:ascii="宋体" w:hAnsi="宋体" w:eastAsia="宋体" w:cs="宋体"/>
          <w:sz w:val="24"/>
          <w:szCs w:val="24"/>
        </w:rPr>
        <w:t>为进一步优化我市营商环境，落实服务市场主体优惠政策，我局牵头推进实施新开办企业首次刻制印章免费服务。</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持续深化改革创新，构建优质高效服务。</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Style w:val="7"/>
          <w:rFonts w:hint="eastAsia" w:ascii="宋体" w:hAnsi="宋体" w:eastAsia="宋体" w:cs="宋体"/>
          <w:sz w:val="24"/>
          <w:szCs w:val="24"/>
        </w:rPr>
      </w:pPr>
      <w:r>
        <w:rPr>
          <w:rFonts w:hint="eastAsia" w:ascii="宋体" w:hAnsi="宋体" w:eastAsia="宋体" w:cs="宋体"/>
          <w:b/>
          <w:sz w:val="24"/>
          <w:szCs w:val="24"/>
        </w:rPr>
        <w:t>推动相对集中行政许可权改革。</w:t>
      </w:r>
      <w:r>
        <w:rPr>
          <w:rFonts w:hint="eastAsia" w:ascii="宋体" w:hAnsi="宋体" w:eastAsia="宋体" w:cs="宋体"/>
          <w:sz w:val="24"/>
          <w:szCs w:val="24"/>
        </w:rPr>
        <w:t>我市行政审批局已于2020年12月28日正式挂牌成立，加挂政务服务办牌子。市委办、市政府办已于2021年4月12日印发了《龙南市行政审批局职能配置、内设机构和人员编制规定》，下设股级政务服务中心和副科级公共资源交易中心两个事业单位。目前，市行政审批局领导班子配备已全面到位，划转相关审批工作人员13人，划转行政审批事项197项，并已经开展相关行政审批业务。</w:t>
      </w:r>
      <w:r>
        <w:rPr>
          <w:rFonts w:hint="eastAsia" w:ascii="宋体" w:hAnsi="宋体" w:eastAsia="宋体" w:cs="宋体"/>
          <w:b/>
          <w:sz w:val="24"/>
          <w:szCs w:val="24"/>
        </w:rPr>
        <w:t>“一门”改革。</w:t>
      </w:r>
      <w:r>
        <w:rPr>
          <w:rFonts w:hint="eastAsia" w:ascii="宋体" w:hAnsi="宋体" w:eastAsia="宋体" w:cs="宋体"/>
          <w:sz w:val="24"/>
          <w:szCs w:val="24"/>
        </w:rPr>
        <w:t>持续推动政务服务事项只进一门办理。</w:t>
      </w:r>
      <w:r>
        <w:rPr>
          <w:rFonts w:hint="eastAsia" w:ascii="宋体" w:hAnsi="宋体" w:eastAsia="宋体" w:cs="宋体"/>
          <w:b/>
          <w:sz w:val="24"/>
          <w:szCs w:val="24"/>
        </w:rPr>
        <w:t>“一窗”改革。</w:t>
      </w:r>
      <w:r>
        <w:rPr>
          <w:rFonts w:hint="eastAsia" w:ascii="宋体" w:hAnsi="宋体" w:eastAsia="宋体" w:cs="宋体"/>
          <w:sz w:val="24"/>
          <w:szCs w:val="24"/>
        </w:rPr>
        <w:t>将21个进驻单位纳入全科“一窗式”综合窗口改革，实行“前台综合受理、后台分类审批、审批限时办结、统一窗口出件”。同时分科推进企业开办“一窗办”、不动产登记“一窗办”和工程建设项目“一窗办”。</w:t>
      </w:r>
      <w:r>
        <w:rPr>
          <w:rFonts w:hint="eastAsia" w:ascii="宋体" w:hAnsi="宋体" w:eastAsia="宋体" w:cs="宋体"/>
          <w:b/>
          <w:sz w:val="24"/>
          <w:szCs w:val="24"/>
        </w:rPr>
        <w:t>推动政务事项规范办理。</w:t>
      </w:r>
      <w:r>
        <w:rPr>
          <w:rFonts w:hint="eastAsia" w:ascii="宋体" w:hAnsi="宋体" w:eastAsia="宋体" w:cs="宋体"/>
          <w:color w:val="000000"/>
          <w:sz w:val="24"/>
          <w:szCs w:val="24"/>
        </w:rPr>
        <w:t>根据省、市有关要求，4月份开始我局组织各单位依据2020年《江西省统一行政权力清单》，进一步细化量化政务服务事项标准，并进行事项领取，做到事项精细化、要素颗粒化、指南标准化、办事场景化。</w:t>
      </w:r>
      <w:r>
        <w:rPr>
          <w:rFonts w:hint="eastAsia" w:ascii="宋体" w:hAnsi="宋体" w:eastAsia="宋体" w:cs="宋体"/>
          <w:b/>
          <w:sz w:val="24"/>
          <w:szCs w:val="24"/>
        </w:rPr>
        <w:t>开展“六减一增”专项行动。</w:t>
      </w:r>
      <w:r>
        <w:rPr>
          <w:rStyle w:val="7"/>
          <w:rFonts w:hint="eastAsia" w:ascii="宋体" w:hAnsi="宋体" w:eastAsia="宋体" w:cs="宋体"/>
          <w:sz w:val="24"/>
          <w:szCs w:val="24"/>
        </w:rPr>
        <w:t>从高频事项入手，对全市范围内非即办件事项进行全面梳理。此次专项行动共精简审批环节246项，压缩材料数量365项，取消证明数量325项，压缩承诺时限1644个工作日，减少跑动次数318次，取消收费2项。</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优化线上办事功能，提升政务服务信息化水平。</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sz w:val="24"/>
          <w:szCs w:val="24"/>
        </w:rPr>
        <w:t>持续推动“赣服通”迭代升级。</w:t>
      </w:r>
      <w:r>
        <w:rPr>
          <w:rFonts w:hint="eastAsia" w:ascii="宋体" w:hAnsi="宋体" w:eastAsia="宋体" w:cs="宋体"/>
          <w:sz w:val="24"/>
          <w:szCs w:val="24"/>
        </w:rPr>
        <w:t>目前</w:t>
      </w:r>
      <w:r>
        <w:rPr>
          <w:rFonts w:hint="eastAsia" w:ascii="宋体" w:hAnsi="宋体" w:eastAsia="宋体" w:cs="宋体"/>
          <w:color w:val="000000"/>
          <w:sz w:val="24"/>
          <w:szCs w:val="24"/>
        </w:rPr>
        <w:t>“赣服通”龙南分厅</w:t>
      </w:r>
      <w:r>
        <w:rPr>
          <w:rFonts w:hint="eastAsia" w:ascii="宋体" w:hAnsi="宋体" w:eastAsia="宋体" w:cs="宋体"/>
          <w:sz w:val="24"/>
          <w:szCs w:val="24"/>
        </w:rPr>
        <w:t>市本级共上线依申请事项871项，能够查询和应用的电子证照208种，“一链办”事项2项，惠企政策</w:t>
      </w:r>
      <w:r>
        <w:rPr>
          <w:rFonts w:hint="eastAsia" w:ascii="宋体" w:hAnsi="宋体" w:eastAsia="宋体" w:cs="宋体"/>
          <w:sz w:val="24"/>
          <w:szCs w:val="24"/>
          <w:lang w:val="en-US" w:eastAsia="zh-CN"/>
        </w:rPr>
        <w:t>72</w:t>
      </w:r>
      <w:r>
        <w:rPr>
          <w:rFonts w:hint="eastAsia" w:ascii="宋体" w:hAnsi="宋体" w:eastAsia="宋体" w:cs="宋体"/>
          <w:sz w:val="24"/>
          <w:szCs w:val="24"/>
        </w:rPr>
        <w:t>条，服务专区</w:t>
      </w:r>
      <w:r>
        <w:rPr>
          <w:rFonts w:hint="eastAsia" w:ascii="宋体" w:hAnsi="宋体" w:eastAsia="宋体" w:cs="宋体"/>
          <w:sz w:val="24"/>
          <w:szCs w:val="24"/>
          <w:lang w:val="en-US" w:eastAsia="zh-CN"/>
        </w:rPr>
        <w:t>6</w:t>
      </w:r>
      <w:r>
        <w:rPr>
          <w:rFonts w:hint="eastAsia" w:ascii="宋体" w:hAnsi="宋体" w:eastAsia="宋体" w:cs="宋体"/>
          <w:sz w:val="24"/>
          <w:szCs w:val="24"/>
        </w:rPr>
        <w:t>个</w:t>
      </w:r>
      <w:r>
        <w:rPr>
          <w:rFonts w:hint="eastAsia" w:ascii="宋体" w:hAnsi="宋体" w:eastAsia="宋体" w:cs="宋体"/>
          <w:color w:val="000000"/>
          <w:sz w:val="24"/>
          <w:szCs w:val="24"/>
        </w:rPr>
        <w:t>，</w:t>
      </w:r>
      <w:r>
        <w:rPr>
          <w:rStyle w:val="7"/>
          <w:rFonts w:hint="eastAsia" w:ascii="宋体" w:hAnsi="宋体" w:eastAsia="宋体" w:cs="宋体"/>
          <w:sz w:val="24"/>
          <w:szCs w:val="24"/>
        </w:rPr>
        <w:t>实现了“一网通办、一次不跑、一点即查”。</w:t>
      </w:r>
      <w:r>
        <w:rPr>
          <w:rFonts w:hint="eastAsia" w:ascii="宋体" w:hAnsi="宋体" w:eastAsia="宋体" w:cs="宋体"/>
          <w:color w:val="000000"/>
          <w:sz w:val="24"/>
          <w:szCs w:val="24"/>
        </w:rPr>
        <w:t>同时，我局按</w:t>
      </w:r>
      <w:r>
        <w:rPr>
          <w:rFonts w:hint="eastAsia" w:ascii="宋体" w:hAnsi="宋体" w:eastAsia="宋体" w:cs="宋体"/>
          <w:sz w:val="24"/>
          <w:szCs w:val="24"/>
        </w:rPr>
        <w:t>照省市要求梳理了“赣服通”县级分厅4.0建设内容，拟定了“赣服通”龙南分厅4.0版项目建设清单</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lang w:eastAsia="zh-CN"/>
          <w14:textFill>
            <w14:solidFill>
              <w14:schemeClr w14:val="tx1"/>
            </w14:solidFill>
          </w14:textFill>
        </w:rPr>
        <w:t>龙南市政府已批准同意建设方案及建设内容，工程造价125万，正在加快实施建设</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sz w:val="24"/>
          <w:szCs w:val="24"/>
        </w:rPr>
        <w:t>强化一体化在线政务服务平台功能。</w:t>
      </w:r>
      <w:r>
        <w:rPr>
          <w:rFonts w:hint="eastAsia" w:ascii="宋体" w:hAnsi="宋体" w:eastAsia="宋体" w:cs="宋体"/>
          <w:sz w:val="24"/>
          <w:szCs w:val="24"/>
        </w:rPr>
        <w:t>积极与上级部门沟通，推动烟草、消防、不动产登记等系统与全省“一窗式”综合服务平台对接，以实现系统通、数据通、业务通，为企业办事提供更加便捷的服务体验。</w:t>
      </w:r>
      <w:r>
        <w:rPr>
          <w:rFonts w:hint="eastAsia" w:ascii="宋体" w:hAnsi="宋体" w:eastAsia="宋体" w:cs="宋体"/>
          <w:b/>
          <w:sz w:val="24"/>
          <w:szCs w:val="24"/>
        </w:rPr>
        <w:t>完善24小时自助服务区功能。</w:t>
      </w:r>
      <w:r>
        <w:rPr>
          <w:rFonts w:hint="eastAsia" w:ascii="宋体" w:hAnsi="宋体" w:eastAsia="宋体" w:cs="宋体"/>
          <w:sz w:val="24"/>
          <w:szCs w:val="24"/>
        </w:rPr>
        <w:t>在原有公安出入境签注、身份证自助办理、自主取件、发票发售、纳税申报、车购税征收等功能基础上，增设了2台“赣服通”自助终端，推动事项线上线下融合办理。</w:t>
      </w:r>
      <w:r>
        <w:rPr>
          <w:rFonts w:hint="eastAsia" w:ascii="宋体" w:hAnsi="宋体" w:eastAsia="宋体" w:cs="宋体"/>
          <w:color w:val="auto"/>
          <w:sz w:val="24"/>
          <w:szCs w:val="24"/>
        </w:rPr>
        <w:t>2021年，身份证自助办理15件，身份证自助领取</w:t>
      </w:r>
      <w:r>
        <w:rPr>
          <w:rFonts w:hint="eastAsia" w:ascii="宋体" w:hAnsi="宋体" w:eastAsia="宋体" w:cs="宋体"/>
          <w:color w:val="auto"/>
          <w:sz w:val="24"/>
          <w:szCs w:val="24"/>
          <w:lang w:val="en-US" w:eastAsia="zh-CN"/>
        </w:rPr>
        <w:t>7094</w:t>
      </w:r>
      <w:r>
        <w:rPr>
          <w:rFonts w:hint="eastAsia" w:ascii="宋体" w:hAnsi="宋体" w:eastAsia="宋体" w:cs="宋体"/>
          <w:color w:val="auto"/>
          <w:sz w:val="24"/>
          <w:szCs w:val="24"/>
        </w:rPr>
        <w:t>张，自助终端发票发售</w:t>
      </w:r>
      <w:r>
        <w:rPr>
          <w:rFonts w:hint="eastAsia" w:ascii="宋体" w:hAnsi="宋体" w:eastAsia="宋体" w:cs="宋体"/>
          <w:color w:val="auto"/>
          <w:sz w:val="24"/>
          <w:szCs w:val="24"/>
          <w:lang w:val="en-US" w:eastAsia="zh-CN"/>
        </w:rPr>
        <w:t>9016</w:t>
      </w:r>
      <w:r>
        <w:rPr>
          <w:rFonts w:hint="eastAsia" w:ascii="宋体" w:hAnsi="宋体" w:eastAsia="宋体" w:cs="宋体"/>
          <w:color w:val="auto"/>
          <w:sz w:val="24"/>
          <w:szCs w:val="24"/>
        </w:rPr>
        <w:t>户次。</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推行“两办一评”，健全政务服务机制。</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延时预约办。</w:t>
      </w:r>
      <w:r>
        <w:rPr>
          <w:rFonts w:hint="eastAsia" w:ascii="宋体" w:hAnsi="宋体" w:eastAsia="宋体" w:cs="宋体"/>
          <w:sz w:val="24"/>
          <w:szCs w:val="24"/>
        </w:rPr>
        <w:t>指导政务服务中心、各分中心和各乡镇便民服务中心开展错时延时预约服务，解决群众需要在工作日请假办事的问题，切实提升群众满意度。</w:t>
      </w:r>
      <w:r>
        <w:rPr>
          <w:rFonts w:hint="eastAsia" w:ascii="宋体" w:hAnsi="宋体" w:eastAsia="宋体" w:cs="宋体"/>
          <w:color w:val="000000"/>
          <w:kern w:val="0"/>
          <w:sz w:val="24"/>
          <w:szCs w:val="24"/>
        </w:rPr>
        <w:t>2021年</w:t>
      </w:r>
      <w:r>
        <w:rPr>
          <w:rFonts w:hint="eastAsia" w:ascii="宋体" w:hAnsi="宋体" w:eastAsia="宋体" w:cs="宋体"/>
          <w:sz w:val="24"/>
          <w:szCs w:val="24"/>
        </w:rPr>
        <w:t>，已办理</w:t>
      </w:r>
      <w:r>
        <w:rPr>
          <w:rFonts w:hint="eastAsia" w:ascii="宋体" w:hAnsi="宋体" w:eastAsia="宋体" w:cs="宋体"/>
          <w:sz w:val="24"/>
          <w:szCs w:val="24"/>
          <w:lang w:val="en-US" w:eastAsia="zh-CN"/>
        </w:rPr>
        <w:t>12371</w:t>
      </w:r>
      <w:r>
        <w:rPr>
          <w:rFonts w:hint="eastAsia" w:ascii="宋体" w:hAnsi="宋体" w:eastAsia="宋体" w:cs="宋体"/>
          <w:sz w:val="24"/>
          <w:szCs w:val="24"/>
        </w:rPr>
        <w:t>件错</w:t>
      </w:r>
      <w:r>
        <w:rPr>
          <w:rFonts w:hint="eastAsia" w:ascii="宋体" w:hAnsi="宋体" w:eastAsia="宋体" w:cs="宋体"/>
          <w:color w:val="000000"/>
          <w:kern w:val="0"/>
          <w:sz w:val="24"/>
          <w:szCs w:val="24"/>
        </w:rPr>
        <w:t>时延时服务事项。</w:t>
      </w:r>
      <w:r>
        <w:rPr>
          <w:rFonts w:hint="eastAsia" w:ascii="宋体" w:hAnsi="宋体" w:eastAsia="宋体" w:cs="宋体"/>
          <w:b/>
          <w:sz w:val="24"/>
          <w:szCs w:val="24"/>
        </w:rPr>
        <w:t>帮办代办。</w:t>
      </w:r>
      <w:r>
        <w:rPr>
          <w:rFonts w:hint="eastAsia" w:ascii="宋体" w:hAnsi="宋体" w:eastAsia="宋体" w:cs="宋体"/>
          <w:sz w:val="24"/>
          <w:szCs w:val="24"/>
        </w:rPr>
        <w:t>印发《龙南市关于推行帮办代办导办服务机制实施方案（试行）》，并在大厅综合窗口设立政务服务帮办中心，进一步提升政务服务水平。</w:t>
      </w:r>
      <w:r>
        <w:rPr>
          <w:rFonts w:hint="eastAsia" w:ascii="宋体" w:hAnsi="宋体" w:eastAsia="宋体" w:cs="宋体"/>
          <w:b/>
          <w:sz w:val="24"/>
          <w:szCs w:val="24"/>
        </w:rPr>
        <w:t>政务服务“好差评”</w:t>
      </w:r>
      <w:r>
        <w:rPr>
          <w:rFonts w:hint="eastAsia" w:ascii="宋体" w:hAnsi="宋体" w:eastAsia="宋体" w:cs="宋体"/>
          <w:sz w:val="24"/>
          <w:szCs w:val="24"/>
        </w:rPr>
        <w:t>。通过窗口设置评价器、设立投诉咨询台、面对面民意测评等方式同时开展线上、线下好</w:t>
      </w:r>
      <w:bookmarkStart w:id="0" w:name="_GoBack"/>
      <w:bookmarkEnd w:id="0"/>
      <w:r>
        <w:rPr>
          <w:rFonts w:hint="eastAsia" w:ascii="宋体" w:hAnsi="宋体" w:eastAsia="宋体" w:cs="宋体"/>
          <w:sz w:val="24"/>
          <w:szCs w:val="24"/>
        </w:rPr>
        <w:t>差评工作，倒逼窗口工作人员改进工作作风。目前，我市现场评价好评达100%。政务服务“好差评”已向乡镇延伸，逐步实现县乡两级全覆盖。</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抓实“党建+政务服务”，促窗口服务全面提升。</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Style w:val="7"/>
          <w:rFonts w:hint="eastAsia" w:ascii="宋体" w:hAnsi="宋体" w:eastAsia="宋体" w:cs="宋体"/>
          <w:sz w:val="24"/>
          <w:szCs w:val="24"/>
        </w:rPr>
      </w:pPr>
      <w:r>
        <w:rPr>
          <w:rFonts w:hint="eastAsia" w:ascii="宋体" w:hAnsi="宋体" w:eastAsia="宋体" w:cs="宋体"/>
          <w:b/>
          <w:sz w:val="24"/>
          <w:szCs w:val="24"/>
        </w:rPr>
        <w:t>扎实开展党建工作。</w:t>
      </w:r>
      <w:r>
        <w:rPr>
          <w:rFonts w:hint="eastAsia" w:ascii="宋体" w:hAnsi="宋体" w:eastAsia="宋体" w:cs="宋体"/>
          <w:sz w:val="24"/>
          <w:szCs w:val="24"/>
        </w:rPr>
        <w:t>市行政审批局党支部不断加强党史学习教育，并以政务服务中心为依托，以“我为群众办实事”实践活动为抓手，坚持“党建+政务服务”理念，扎实推进党建“三化”建设提质增效和质量过硬行动，实现了党建工作和业务工作深度融合。</w:t>
      </w:r>
      <w:r>
        <w:rPr>
          <w:rFonts w:hint="eastAsia" w:ascii="宋体" w:hAnsi="宋体" w:eastAsia="宋体" w:cs="宋体"/>
          <w:b/>
          <w:sz w:val="24"/>
          <w:szCs w:val="24"/>
        </w:rPr>
        <w:t>强化窗口队伍主动服务意识。</w:t>
      </w:r>
      <w:r>
        <w:rPr>
          <w:rStyle w:val="7"/>
          <w:rFonts w:hint="eastAsia" w:ascii="宋体" w:hAnsi="宋体" w:eastAsia="宋体" w:cs="宋体"/>
          <w:sz w:val="24"/>
          <w:szCs w:val="24"/>
        </w:rPr>
        <w:t>大力倡导“不为不办找理由、只为办好想办法”工作理念，不断强化工作纪律、服务态度、办事效率，规范一次性告知、限时办结制度落实等，结合工作实际印发新的考评方案，强化日常巡查及月度考核通报。</w:t>
      </w:r>
      <w:r>
        <w:rPr>
          <w:rFonts w:hint="eastAsia" w:ascii="宋体" w:hAnsi="宋体" w:eastAsia="宋体" w:cs="宋体"/>
          <w:b/>
          <w:sz w:val="24"/>
          <w:szCs w:val="24"/>
        </w:rPr>
        <w:t>不断健全政务服务沟通机制。</w:t>
      </w:r>
      <w:r>
        <w:rPr>
          <w:rStyle w:val="7"/>
          <w:rFonts w:hint="eastAsia" w:ascii="宋体" w:hAnsi="宋体" w:eastAsia="宋体" w:cs="宋体"/>
          <w:sz w:val="24"/>
          <w:szCs w:val="24"/>
        </w:rPr>
        <w:t>积极畅通企业群众沟通渠道，优化提升12345政府服务热线平台，做到接诉即办。</w:t>
      </w:r>
      <w:r>
        <w:rPr>
          <w:rStyle w:val="7"/>
          <w:rFonts w:hint="eastAsia" w:ascii="宋体" w:hAnsi="宋体" w:eastAsia="宋体" w:cs="宋体"/>
          <w:sz w:val="24"/>
          <w:szCs w:val="24"/>
          <w:lang w:val="en-US" w:eastAsia="zh-CN"/>
        </w:rPr>
        <w:t>2021年</w:t>
      </w:r>
      <w:r>
        <w:rPr>
          <w:rStyle w:val="7"/>
          <w:rFonts w:hint="eastAsia" w:ascii="宋体" w:hAnsi="宋体" w:eastAsia="宋体" w:cs="宋体"/>
          <w:sz w:val="24"/>
          <w:szCs w:val="24"/>
        </w:rPr>
        <w:t>，龙南市12345政府服务热线平台共派发工单</w:t>
      </w:r>
      <w:r>
        <w:rPr>
          <w:rStyle w:val="7"/>
          <w:rFonts w:hint="eastAsia" w:ascii="宋体" w:hAnsi="宋体" w:eastAsia="宋体" w:cs="宋体"/>
          <w:sz w:val="24"/>
          <w:szCs w:val="24"/>
          <w:lang w:val="en-US" w:eastAsia="zh-CN"/>
        </w:rPr>
        <w:t>3786</w:t>
      </w:r>
      <w:r>
        <w:rPr>
          <w:rStyle w:val="7"/>
          <w:rFonts w:hint="eastAsia" w:ascii="宋体" w:hAnsi="宋体" w:eastAsia="宋体" w:cs="宋体"/>
          <w:sz w:val="24"/>
          <w:szCs w:val="24"/>
        </w:rPr>
        <w:t>件，按时办结</w:t>
      </w:r>
      <w:r>
        <w:rPr>
          <w:rStyle w:val="7"/>
          <w:rFonts w:hint="eastAsia" w:ascii="宋体" w:hAnsi="宋体" w:eastAsia="宋体" w:cs="宋体"/>
          <w:sz w:val="24"/>
          <w:szCs w:val="24"/>
          <w:lang w:val="en-US" w:eastAsia="zh-CN"/>
        </w:rPr>
        <w:t>3590</w:t>
      </w:r>
      <w:r>
        <w:rPr>
          <w:rStyle w:val="7"/>
          <w:rFonts w:hint="eastAsia" w:ascii="宋体" w:hAnsi="宋体" w:eastAsia="宋体" w:cs="宋体"/>
          <w:sz w:val="24"/>
          <w:szCs w:val="24"/>
        </w:rPr>
        <w:t>件，按期办结率为</w:t>
      </w:r>
      <w:r>
        <w:rPr>
          <w:rStyle w:val="7"/>
          <w:rFonts w:hint="eastAsia" w:ascii="宋体" w:hAnsi="宋体" w:eastAsia="宋体" w:cs="宋体"/>
          <w:sz w:val="24"/>
          <w:szCs w:val="24"/>
          <w:lang w:val="en-US" w:eastAsia="zh-CN"/>
        </w:rPr>
        <w:t>94.87</w:t>
      </w:r>
      <w:r>
        <w:rPr>
          <w:rStyle w:val="7"/>
          <w:rFonts w:hint="eastAsia" w:ascii="宋体" w:hAnsi="宋体" w:eastAsia="宋体" w:cs="宋体"/>
          <w:sz w:val="24"/>
          <w:szCs w:val="24"/>
        </w:rPr>
        <w:t>%，满意率为99.6</w:t>
      </w:r>
      <w:r>
        <w:rPr>
          <w:rStyle w:val="7"/>
          <w:rFonts w:hint="eastAsia" w:ascii="宋体" w:hAnsi="宋体" w:eastAsia="宋体" w:cs="宋体"/>
          <w:sz w:val="24"/>
          <w:szCs w:val="24"/>
          <w:lang w:val="en-US" w:eastAsia="zh-CN"/>
        </w:rPr>
        <w:t>4</w:t>
      </w:r>
      <w:r>
        <w:rPr>
          <w:rStyle w:val="7"/>
          <w:rFonts w:hint="eastAsia" w:ascii="宋体" w:hAnsi="宋体" w:eastAsia="宋体" w:cs="宋体"/>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b/>
          <w:bCs/>
          <w:sz w:val="24"/>
        </w:rPr>
      </w:pPr>
      <w:r>
        <w:rPr>
          <w:rFonts w:hint="eastAsia" w:asciiTheme="minorEastAsia" w:hAnsiTheme="minorEastAsia"/>
          <w:b/>
          <w:bCs/>
          <w:sz w:val="24"/>
        </w:rPr>
        <w:t>强化招投标项目信息公开。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2021年赣州市公共资源交易中心龙南分中心交易项目139次，成交金额371418.98万元，同比增长16.75 %，节约资金22823.74万元，节支增收率5.86%。</w:t>
      </w:r>
      <w:r>
        <w:rPr>
          <w:rFonts w:hint="eastAsia" w:ascii="宋体" w:hAnsi="宋体" w:eastAsia="宋体" w:cs="宋体"/>
          <w:sz w:val="24"/>
          <w:szCs w:val="24"/>
          <w:lang w:val="en-US" w:eastAsia="zh-CN"/>
        </w:rPr>
        <w:t>7.</w:t>
      </w:r>
      <w:r>
        <w:rPr>
          <w:rFonts w:hint="eastAsia" w:ascii="宋体" w:hAnsi="宋体" w:eastAsia="宋体" w:cs="宋体"/>
          <w:sz w:val="24"/>
          <w:szCs w:val="24"/>
        </w:rPr>
        <w:t>积极推进全市重点工作开展。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累计公开信息177条，其中，重大项目建设栏目48条，部门公示公告102条，公布每月交易数据统计12条，工作动态等15条。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常态化做好疫情防控工作。</w:t>
      </w:r>
      <w:r>
        <w:rPr>
          <w:rFonts w:hint="eastAsia" w:ascii="宋体" w:hAnsi="宋体" w:eastAsia="宋体" w:cs="宋体"/>
          <w:sz w:val="24"/>
          <w:szCs w:val="24"/>
        </w:rPr>
        <w:t>一是配备防疫设施。在大厅入口配置体温自动检测设备、自动消</w:t>
      </w:r>
      <w:r>
        <w:rPr>
          <w:rFonts w:hint="eastAsia" w:ascii="宋体" w:hAnsi="宋体" w:eastAsia="宋体" w:cs="宋体"/>
          <w:spacing w:val="-11"/>
          <w:sz w:val="24"/>
          <w:szCs w:val="24"/>
        </w:rPr>
        <w:t>毒机、平价口罩供应点，保障疫情防控常态化形势下公共卫生安</w:t>
      </w:r>
      <w:r>
        <w:rPr>
          <w:rFonts w:hint="eastAsia" w:ascii="宋体" w:hAnsi="宋体" w:eastAsia="宋体" w:cs="宋体"/>
          <w:sz w:val="24"/>
          <w:szCs w:val="24"/>
        </w:rPr>
        <w:t>全。二是安排工作人员负责大厅亮码通行、各楼层人员疏导及对中心办事大厅、卫生间等公共场所进行消杀、通风等工作。</w:t>
      </w:r>
      <w:r>
        <w:rPr>
          <w:rFonts w:hint="eastAsia" w:ascii="宋体" w:hAnsi="宋体" w:eastAsia="宋体" w:cs="宋体"/>
          <w:b/>
          <w:sz w:val="24"/>
          <w:szCs w:val="24"/>
        </w:rPr>
        <w:t>全面落实“三城同创”工作任务。</w:t>
      </w:r>
      <w:r>
        <w:rPr>
          <w:rFonts w:hint="eastAsia" w:ascii="宋体" w:hAnsi="宋体" w:eastAsia="宋体" w:cs="宋体"/>
          <w:sz w:val="24"/>
          <w:szCs w:val="24"/>
        </w:rPr>
        <w:t>作为城市花园网格牵头单位，组织各单位按照有关部署落实规定动作。</w:t>
      </w:r>
      <w:r>
        <w:rPr>
          <w:rFonts w:hint="eastAsia" w:ascii="宋体" w:hAnsi="宋体" w:eastAsia="宋体" w:cs="宋体"/>
          <w:b/>
          <w:sz w:val="24"/>
          <w:szCs w:val="24"/>
        </w:rPr>
        <w:t>做好巩固拓展脱贫攻坚成果工作。</w:t>
      </w:r>
      <w:r>
        <w:rPr>
          <w:rFonts w:hint="eastAsia" w:ascii="宋体" w:hAnsi="宋体" w:eastAsia="宋体" w:cs="宋体"/>
          <w:sz w:val="24"/>
          <w:szCs w:val="24"/>
        </w:rPr>
        <w:t>以巩固拓展脱贫攻坚成果为首要任务，以健全落实防止返贫动态监测和帮扶机制为工作抓手，以确保“两不愁、三保障”及饮水安全等为工作重点，做牢政策帮扶，落实好教育、医疗、住房、饮水等民生保障普惠性政策，推动农业转型升级，探索建设采摘大棚和特色品牌农业，打造田园景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asciiTheme="minorEastAsia" w:hAnsiTheme="minorEastAsia"/>
          <w:b/>
          <w:bCs/>
          <w:sz w:val="24"/>
        </w:rPr>
      </w:pPr>
      <w:r>
        <w:rPr>
          <w:rFonts w:hint="eastAsia" w:asciiTheme="minorEastAsia" w:hAnsiTheme="minorEastAsia"/>
          <w:b/>
          <w:bCs/>
          <w:sz w:val="24"/>
        </w:rPr>
        <w:t>（二）依申请公开</w:t>
      </w:r>
    </w:p>
    <w:p>
      <w:pPr>
        <w:spacing w:line="560" w:lineRule="exact"/>
        <w:ind w:firstLine="480" w:firstLineChars="200"/>
        <w:rPr>
          <w:rFonts w:asciiTheme="minorEastAsia" w:hAnsiTheme="minorEastAsia"/>
          <w:sz w:val="24"/>
        </w:rPr>
      </w:pPr>
      <w:r>
        <w:rPr>
          <w:rFonts w:hint="eastAsia" w:asciiTheme="minorEastAsia" w:hAnsiTheme="minorEastAsia"/>
          <w:sz w:val="24"/>
        </w:rPr>
        <w:t>202</w:t>
      </w:r>
      <w:r>
        <w:rPr>
          <w:rFonts w:hint="eastAsia" w:asciiTheme="minorEastAsia" w:hAnsiTheme="minorEastAsia"/>
          <w:sz w:val="24"/>
          <w:lang w:val="en-US" w:eastAsia="zh-CN"/>
        </w:rPr>
        <w:t>1</w:t>
      </w:r>
      <w:r>
        <w:rPr>
          <w:rFonts w:hint="eastAsia" w:asciiTheme="minorEastAsia" w:hAnsiTheme="minorEastAsia"/>
          <w:sz w:val="24"/>
        </w:rPr>
        <w:t>年无依申请公开事项。</w:t>
      </w:r>
    </w:p>
    <w:p>
      <w:pPr>
        <w:spacing w:line="560" w:lineRule="exact"/>
        <w:ind w:firstLine="482" w:firstLineChars="200"/>
        <w:rPr>
          <w:rFonts w:asciiTheme="minorEastAsia" w:hAnsiTheme="minorEastAsia"/>
          <w:b/>
          <w:bCs/>
          <w:sz w:val="24"/>
        </w:rPr>
      </w:pPr>
      <w:r>
        <w:rPr>
          <w:rFonts w:hint="eastAsia" w:asciiTheme="minorEastAsia" w:hAnsiTheme="minorEastAsia"/>
          <w:b/>
          <w:bCs/>
          <w:sz w:val="24"/>
        </w:rPr>
        <w:t>（三）政府信息管理</w:t>
      </w:r>
    </w:p>
    <w:p>
      <w:pPr>
        <w:spacing w:line="560" w:lineRule="exact"/>
        <w:ind w:firstLine="482" w:firstLineChars="200"/>
        <w:rPr>
          <w:rFonts w:asciiTheme="minorEastAsia" w:hAnsiTheme="minorEastAsia"/>
          <w:sz w:val="24"/>
        </w:rPr>
      </w:pPr>
      <w:r>
        <w:rPr>
          <w:rFonts w:hint="eastAsia" w:asciiTheme="minorEastAsia" w:hAnsiTheme="minorEastAsia"/>
          <w:b/>
          <w:bCs/>
          <w:sz w:val="24"/>
        </w:rPr>
        <w:t>1.加大信息公开力度。</w:t>
      </w:r>
      <w:r>
        <w:rPr>
          <w:rFonts w:hint="eastAsia" w:asciiTheme="minorEastAsia" w:hAnsiTheme="minorEastAsia"/>
          <w:sz w:val="24"/>
        </w:rPr>
        <w:t>持续丰富公开内容，拓展公开渠道，围绕概况信息、法规文件、重大项目建设、公示公告、工作动态、统计数据等内容，稳步有序推进主动公开。202</w:t>
      </w:r>
      <w:r>
        <w:rPr>
          <w:rFonts w:hint="eastAsia" w:asciiTheme="minorEastAsia" w:hAnsiTheme="minorEastAsia"/>
          <w:sz w:val="24"/>
          <w:lang w:val="en-US" w:eastAsia="zh-CN"/>
        </w:rPr>
        <w:t>1</w:t>
      </w:r>
      <w:r>
        <w:rPr>
          <w:rFonts w:hint="eastAsia" w:asciiTheme="minorEastAsia" w:hAnsiTheme="minorEastAsia"/>
          <w:sz w:val="24"/>
        </w:rPr>
        <w:t>年，在政府信息公开平台累计公开信息</w:t>
      </w:r>
      <w:r>
        <w:rPr>
          <w:rFonts w:hint="eastAsia" w:asciiTheme="minorEastAsia" w:hAnsiTheme="minorEastAsia"/>
          <w:sz w:val="24"/>
          <w:lang w:val="en-US" w:eastAsia="zh-CN"/>
        </w:rPr>
        <w:t>736</w:t>
      </w:r>
      <w:r>
        <w:rPr>
          <w:rFonts w:hint="eastAsia" w:asciiTheme="minorEastAsia" w:hAnsiTheme="minorEastAsia"/>
          <w:sz w:val="24"/>
        </w:rPr>
        <w:t>条，在龙南市人民政府门户网站累计发布信息</w:t>
      </w:r>
      <w:r>
        <w:rPr>
          <w:rFonts w:hint="eastAsia" w:asciiTheme="minorEastAsia" w:hAnsiTheme="minorEastAsia"/>
          <w:sz w:val="24"/>
          <w:lang w:val="en-US" w:eastAsia="zh-CN"/>
        </w:rPr>
        <w:t>176</w:t>
      </w:r>
      <w:r>
        <w:rPr>
          <w:rFonts w:hint="eastAsia" w:asciiTheme="minorEastAsia" w:hAnsiTheme="minorEastAsia"/>
          <w:sz w:val="24"/>
        </w:rPr>
        <w:t>条。</w:t>
      </w:r>
    </w:p>
    <w:p>
      <w:pPr>
        <w:spacing w:line="560" w:lineRule="exact"/>
        <w:ind w:firstLine="482" w:firstLineChars="200"/>
        <w:rPr>
          <w:rFonts w:asciiTheme="minorEastAsia" w:hAnsiTheme="minorEastAsia"/>
          <w:sz w:val="24"/>
        </w:rPr>
      </w:pPr>
      <w:r>
        <w:rPr>
          <w:rFonts w:hint="eastAsia" w:asciiTheme="minorEastAsia" w:hAnsiTheme="minorEastAsia"/>
          <w:b/>
          <w:bCs/>
          <w:sz w:val="24"/>
        </w:rPr>
        <w:t>2.深入数据信息解读。</w:t>
      </w:r>
      <w:r>
        <w:rPr>
          <w:rFonts w:hint="eastAsia" w:asciiTheme="minorEastAsia" w:hAnsiTheme="minorEastAsia"/>
          <w:sz w:val="24"/>
        </w:rPr>
        <w:t>针对12345政务服务热线受理情况，在统计数据的基础上，新增图表解读、案例分析，以通俗易懂的方式解读12345政府服务热线月度办理情况。</w:t>
      </w:r>
    </w:p>
    <w:p>
      <w:pPr>
        <w:spacing w:line="560" w:lineRule="exact"/>
        <w:ind w:firstLine="482" w:firstLineChars="200"/>
        <w:rPr>
          <w:rFonts w:asciiTheme="minorEastAsia" w:hAnsiTheme="minorEastAsia"/>
          <w:sz w:val="24"/>
        </w:rPr>
      </w:pPr>
      <w:r>
        <w:rPr>
          <w:rFonts w:hint="eastAsia" w:asciiTheme="minorEastAsia" w:hAnsiTheme="minorEastAsia"/>
          <w:b/>
          <w:bCs/>
          <w:sz w:val="24"/>
        </w:rPr>
        <w:t>3.规范信息审核发布机制。</w:t>
      </w:r>
      <w:r>
        <w:rPr>
          <w:rFonts w:hint="eastAsia" w:asciiTheme="minorEastAsia" w:hAnsiTheme="minorEastAsia"/>
          <w:sz w:val="24"/>
        </w:rPr>
        <w:t>一是严格审批程序。严格落实网站上传内容由单位分管领导审核、主要领导签发的签批制度，切实保障门户网站内容安全，并做好国家秘密、个人隐私信息保护工作。二是规范信息发布格式。凡是通过门户网站集中发布的相关信息严格按照规定的格式、方式、发布时限做好原创性信息的编制工作，切实提高信息质量。</w:t>
      </w:r>
    </w:p>
    <w:p>
      <w:pPr>
        <w:spacing w:line="560" w:lineRule="exact"/>
        <w:ind w:firstLine="482" w:firstLineChars="200"/>
        <w:rPr>
          <w:rFonts w:asciiTheme="minorEastAsia" w:hAnsiTheme="minorEastAsia"/>
          <w:b/>
          <w:bCs/>
          <w:sz w:val="24"/>
        </w:rPr>
      </w:pPr>
      <w:r>
        <w:rPr>
          <w:rFonts w:hint="eastAsia" w:asciiTheme="minorEastAsia" w:hAnsiTheme="minorEastAsia"/>
          <w:b/>
          <w:bCs/>
          <w:sz w:val="24"/>
        </w:rPr>
        <w:t>（四）平台建设</w:t>
      </w:r>
    </w:p>
    <w:p>
      <w:pPr>
        <w:spacing w:line="560" w:lineRule="exact"/>
        <w:ind w:firstLine="482" w:firstLineChars="200"/>
        <w:rPr>
          <w:rFonts w:asciiTheme="minorEastAsia" w:hAnsiTheme="minorEastAsia"/>
          <w:sz w:val="24"/>
        </w:rPr>
      </w:pPr>
      <w:r>
        <w:rPr>
          <w:rFonts w:hint="eastAsia" w:asciiTheme="minorEastAsia" w:hAnsiTheme="minorEastAsia"/>
          <w:b/>
          <w:bCs/>
          <w:sz w:val="24"/>
        </w:rPr>
        <w:t>1.发挥政府门户网站第一平台作用。</w:t>
      </w:r>
      <w:r>
        <w:rPr>
          <w:rFonts w:hint="eastAsia" w:asciiTheme="minorEastAsia" w:hAnsiTheme="minorEastAsia"/>
          <w:sz w:val="24"/>
        </w:rPr>
        <w:t>在部门信息公开和要闻栏目实时更新工作动态，提升政务动态信息发布的时效性。</w:t>
      </w:r>
    </w:p>
    <w:p>
      <w:pPr>
        <w:spacing w:line="560" w:lineRule="exact"/>
        <w:ind w:firstLine="482" w:firstLineChars="200"/>
        <w:rPr>
          <w:rFonts w:hint="eastAsia" w:asciiTheme="minorEastAsia" w:hAnsiTheme="minorEastAsia"/>
          <w:sz w:val="24"/>
        </w:rPr>
      </w:pPr>
      <w:r>
        <w:rPr>
          <w:rFonts w:hint="eastAsia" w:asciiTheme="minorEastAsia" w:hAnsiTheme="minorEastAsia"/>
          <w:b/>
          <w:bCs/>
          <w:sz w:val="24"/>
        </w:rPr>
        <w:t>2.利用政务新媒体广泛传播作用。</w:t>
      </w:r>
      <w:r>
        <w:rPr>
          <w:rFonts w:hint="eastAsia" w:asciiTheme="minorEastAsia" w:hAnsiTheme="minorEastAsia"/>
          <w:sz w:val="24"/>
        </w:rPr>
        <w:t>加强对微信公众号的管理，明确专人负责，做到了内容有保障、安全有防护。202</w:t>
      </w:r>
      <w:r>
        <w:rPr>
          <w:rFonts w:hint="eastAsia" w:asciiTheme="minorEastAsia" w:hAnsiTheme="minorEastAsia"/>
          <w:sz w:val="24"/>
          <w:lang w:val="en-US" w:eastAsia="zh-CN"/>
        </w:rPr>
        <w:t>1</w:t>
      </w:r>
      <w:r>
        <w:rPr>
          <w:rFonts w:hint="eastAsia" w:asciiTheme="minorEastAsia" w:hAnsiTheme="minorEastAsia"/>
          <w:sz w:val="24"/>
        </w:rPr>
        <w:t>年“龙南政务服务”微信公众号关注数达到</w:t>
      </w:r>
      <w:r>
        <w:rPr>
          <w:rFonts w:hint="eastAsia" w:asciiTheme="minorEastAsia" w:hAnsiTheme="minorEastAsia"/>
          <w:sz w:val="24"/>
          <w:lang w:val="en-US" w:eastAsia="zh-CN"/>
        </w:rPr>
        <w:t>940</w:t>
      </w:r>
      <w:r>
        <w:rPr>
          <w:rFonts w:hint="eastAsia" w:asciiTheme="minorEastAsia" w:hAnsiTheme="minorEastAsia"/>
          <w:sz w:val="24"/>
        </w:rPr>
        <w:t>，发布文章</w:t>
      </w:r>
      <w:r>
        <w:rPr>
          <w:rFonts w:hint="eastAsia" w:asciiTheme="minorEastAsia" w:hAnsiTheme="minorEastAsia"/>
          <w:sz w:val="24"/>
          <w:lang w:val="en-US" w:eastAsia="zh-CN"/>
        </w:rPr>
        <w:t>77</w:t>
      </w:r>
      <w:r>
        <w:rPr>
          <w:rFonts w:hint="eastAsia" w:asciiTheme="minorEastAsia" w:hAnsiTheme="minorEastAsia"/>
          <w:sz w:val="24"/>
        </w:rPr>
        <w:t>次，涵盖公示公告、工作动态、社科普及、创文动态四大方面。</w:t>
      </w:r>
    </w:p>
    <w:p>
      <w:pPr>
        <w:spacing w:line="560" w:lineRule="exact"/>
        <w:ind w:firstLine="482" w:firstLineChars="200"/>
        <w:rPr>
          <w:rFonts w:asciiTheme="minorEastAsia" w:hAnsiTheme="minorEastAsia"/>
          <w:b/>
          <w:bCs/>
          <w:sz w:val="24"/>
        </w:rPr>
      </w:pPr>
      <w:r>
        <w:rPr>
          <w:rFonts w:hint="eastAsia" w:asciiTheme="minorEastAsia" w:hAnsiTheme="minorEastAsia"/>
          <w:b/>
          <w:bCs/>
          <w:sz w:val="24"/>
        </w:rPr>
        <w:t>（五）监督保障</w:t>
      </w:r>
    </w:p>
    <w:p>
      <w:pPr>
        <w:spacing w:line="560" w:lineRule="exact"/>
        <w:ind w:firstLine="482" w:firstLineChars="200"/>
        <w:rPr>
          <w:rFonts w:asciiTheme="minorEastAsia" w:hAnsiTheme="minorEastAsia"/>
          <w:sz w:val="24"/>
        </w:rPr>
      </w:pPr>
      <w:r>
        <w:rPr>
          <w:rFonts w:hint="eastAsia" w:asciiTheme="minorEastAsia" w:hAnsiTheme="minorEastAsia"/>
          <w:b/>
          <w:bCs/>
          <w:sz w:val="24"/>
        </w:rPr>
        <w:t>1.强化信息公开监督考核。</w:t>
      </w:r>
      <w:r>
        <w:rPr>
          <w:rFonts w:hint="eastAsia" w:asciiTheme="minorEastAsia" w:hAnsiTheme="minorEastAsia"/>
          <w:sz w:val="24"/>
        </w:rPr>
        <w:t>一是根据信息公开要求和单位实际情况，制定了任务分解方案。指定专人负责处理监督监察工作，实施全程监控、预警纠错、投诉处理、绩效考核等工作。在中心显要位置放置投诉箱，对投诉的情况都能认真负责的开展调查，并通过网站及其他方式回复投诉人。二是每月安排监察人员对窗口事项办理情况进行监督监察，主要包括受理、事项流转、收费等情况进行监察，对异常情况进行通报，及时要求整改，并按照考评细则进行考核打分，使之与单位和个人的年度考核挂钩。2</w:t>
      </w:r>
      <w:r>
        <w:rPr>
          <w:rFonts w:asciiTheme="minorEastAsia" w:hAnsiTheme="minorEastAsia"/>
          <w:sz w:val="24"/>
        </w:rPr>
        <w:t>02</w:t>
      </w:r>
      <w:r>
        <w:rPr>
          <w:rFonts w:hint="eastAsia" w:asciiTheme="minorEastAsia" w:hAnsiTheme="minorEastAsia"/>
          <w:sz w:val="24"/>
          <w:lang w:val="en-US" w:eastAsia="zh-CN"/>
        </w:rPr>
        <w:t>1</w:t>
      </w:r>
      <w:r>
        <w:rPr>
          <w:rFonts w:hint="eastAsia" w:asciiTheme="minorEastAsia" w:hAnsiTheme="minorEastAsia"/>
          <w:sz w:val="24"/>
        </w:rPr>
        <w:t>年，未发生因政府信息公开工作而受到责任追究的案件。</w:t>
      </w:r>
    </w:p>
    <w:p>
      <w:pPr>
        <w:spacing w:line="560" w:lineRule="exact"/>
        <w:ind w:firstLine="482" w:firstLineChars="200"/>
        <w:rPr>
          <w:rFonts w:hint="eastAsia" w:asciiTheme="minorEastAsia" w:hAnsiTheme="minorEastAsia"/>
          <w:sz w:val="24"/>
        </w:rPr>
      </w:pPr>
      <w:r>
        <w:rPr>
          <w:rFonts w:hint="eastAsia" w:asciiTheme="minorEastAsia" w:hAnsiTheme="minorEastAsia"/>
          <w:b/>
          <w:bCs/>
          <w:sz w:val="24"/>
        </w:rPr>
        <w:t>2.畅通企业群众沟通渠道。一是设立企业服务投诉举报受理窗口，</w:t>
      </w:r>
      <w:r>
        <w:rPr>
          <w:rFonts w:hint="eastAsia" w:asciiTheme="minorEastAsia" w:hAnsiTheme="minorEastAsia"/>
          <w:sz w:val="24"/>
        </w:rPr>
        <w:t>进一步推动惠企政策落地见效，增强企业获得感和满意度。</w:t>
      </w:r>
      <w:r>
        <w:rPr>
          <w:rFonts w:hint="eastAsia" w:asciiTheme="minorEastAsia" w:hAnsiTheme="minorEastAsia"/>
          <w:b/>
          <w:bCs/>
          <w:sz w:val="24"/>
        </w:rPr>
        <w:t>二是全面开展政务服务“好差评”，</w:t>
      </w:r>
      <w:r>
        <w:rPr>
          <w:rFonts w:hint="eastAsia" w:asciiTheme="minorEastAsia" w:hAnsiTheme="minorEastAsia"/>
          <w:sz w:val="24"/>
        </w:rPr>
        <w:t>不断拓宽和完善服务评价渠道。市行政服务中心综合窗口现有评价设备已完成安装调试，并与省“好差评”系统对接，投入使用。</w:t>
      </w:r>
      <w:r>
        <w:rPr>
          <w:rFonts w:hint="eastAsia" w:asciiTheme="minorEastAsia" w:hAnsiTheme="minorEastAsia"/>
          <w:b/>
          <w:bCs/>
          <w:sz w:val="24"/>
        </w:rPr>
        <w:t>三是优化提升12345政府服务平台，</w:t>
      </w:r>
      <w:r>
        <w:rPr>
          <w:rFonts w:hint="eastAsia" w:asciiTheme="minorEastAsia" w:hAnsiTheme="minorEastAsia"/>
          <w:sz w:val="24"/>
        </w:rPr>
        <w:t>不断完善“12345”政府服务热线管理机制，严格落实限时办结和回访制度，确保群众诉求“件件有落实，事事有回音”。202</w:t>
      </w:r>
      <w:r>
        <w:rPr>
          <w:rFonts w:hint="eastAsia" w:asciiTheme="minorEastAsia" w:hAnsiTheme="minorEastAsia"/>
          <w:sz w:val="24"/>
          <w:lang w:val="en-US" w:eastAsia="zh-CN"/>
        </w:rPr>
        <w:t>1</w:t>
      </w:r>
      <w:r>
        <w:rPr>
          <w:rFonts w:hint="eastAsia" w:asciiTheme="minorEastAsia" w:hAnsiTheme="minorEastAsia"/>
          <w:sz w:val="24"/>
        </w:rPr>
        <w:t>年12345政府服务热线共受理</w:t>
      </w:r>
      <w:r>
        <w:rPr>
          <w:rFonts w:hint="eastAsia" w:asciiTheme="minorEastAsia" w:hAnsiTheme="minorEastAsia"/>
          <w:sz w:val="24"/>
          <w:lang w:val="en-US" w:eastAsia="zh-CN"/>
        </w:rPr>
        <w:t>3786</w:t>
      </w:r>
      <w:r>
        <w:rPr>
          <w:rFonts w:hint="eastAsia" w:asciiTheme="minorEastAsia" w:hAnsiTheme="minorEastAsia"/>
          <w:sz w:val="24"/>
        </w:rPr>
        <w:t>件工单，办结</w:t>
      </w:r>
      <w:r>
        <w:rPr>
          <w:rFonts w:hint="eastAsia" w:asciiTheme="minorEastAsia" w:hAnsiTheme="minorEastAsia"/>
          <w:sz w:val="24"/>
          <w:lang w:val="en-US" w:eastAsia="zh-CN"/>
        </w:rPr>
        <w:t>3786</w:t>
      </w:r>
      <w:r>
        <w:rPr>
          <w:rFonts w:hint="eastAsia" w:asciiTheme="minorEastAsia" w:hAnsiTheme="minorEastAsia"/>
          <w:sz w:val="24"/>
        </w:rPr>
        <w:t>件，按时办结</w:t>
      </w:r>
      <w:r>
        <w:rPr>
          <w:rFonts w:hint="eastAsia" w:asciiTheme="minorEastAsia" w:hAnsiTheme="minorEastAsia"/>
          <w:sz w:val="24"/>
          <w:lang w:val="en-US" w:eastAsia="zh-CN"/>
        </w:rPr>
        <w:t>3590</w:t>
      </w:r>
      <w:r>
        <w:rPr>
          <w:rFonts w:hint="eastAsia" w:asciiTheme="minorEastAsia" w:hAnsiTheme="minorEastAsia"/>
          <w:sz w:val="24"/>
        </w:rPr>
        <w:t>件，按时办结率</w:t>
      </w:r>
      <w:r>
        <w:rPr>
          <w:rFonts w:hint="eastAsia" w:asciiTheme="minorEastAsia" w:hAnsiTheme="minorEastAsia"/>
          <w:sz w:val="24"/>
          <w:lang w:val="en-US" w:eastAsia="zh-CN"/>
        </w:rPr>
        <w:t>94.87</w:t>
      </w:r>
      <w:r>
        <w:rPr>
          <w:rFonts w:hint="eastAsia" w:asciiTheme="minorEastAsia" w:hAnsiTheme="minorEastAsia"/>
          <w:sz w:val="24"/>
        </w:rPr>
        <w:t>%。</w:t>
      </w:r>
    </w:p>
    <w:p>
      <w:pPr>
        <w:spacing w:line="560" w:lineRule="exact"/>
        <w:ind w:firstLine="480" w:firstLineChars="200"/>
        <w:rPr>
          <w:rFonts w:hint="eastAsia" w:asciiTheme="minorEastAsia" w:hAnsiTheme="minorEastAsia"/>
          <w:sz w:val="24"/>
        </w:rPr>
      </w:pPr>
    </w:p>
    <w:p>
      <w:pPr>
        <w:spacing w:line="560" w:lineRule="exact"/>
        <w:ind w:firstLine="480" w:firstLineChars="200"/>
        <w:rPr>
          <w:rFonts w:hint="eastAsia" w:asciiTheme="minorEastAsia" w:hAnsiTheme="minorEastAsia"/>
          <w:sz w:val="24"/>
        </w:rPr>
      </w:pPr>
    </w:p>
    <w:p>
      <w:pPr>
        <w:spacing w:line="560" w:lineRule="exact"/>
        <w:ind w:firstLine="480" w:firstLineChars="200"/>
        <w:rPr>
          <w:rFonts w:hint="eastAsia" w:asciiTheme="minorEastAsia" w:hAnsiTheme="minorEastAsia"/>
          <w:sz w:val="24"/>
        </w:rPr>
      </w:pPr>
    </w:p>
    <w:p>
      <w:pPr>
        <w:spacing w:line="560" w:lineRule="exact"/>
        <w:ind w:firstLine="480" w:firstLineChars="200"/>
        <w:rPr>
          <w:rFonts w:hint="eastAsia" w:asciiTheme="minorEastAsia" w:hAnsiTheme="minorEastAsia"/>
          <w:sz w:val="24"/>
        </w:rPr>
      </w:pPr>
    </w:p>
    <w:p>
      <w:pPr>
        <w:spacing w:line="560" w:lineRule="exact"/>
        <w:ind w:firstLine="480" w:firstLineChars="200"/>
        <w:rPr>
          <w:rFonts w:hint="eastAsia" w:asciiTheme="minorEastAsia" w:hAnsiTheme="minorEastAsia"/>
          <w:sz w:val="24"/>
        </w:rPr>
      </w:pPr>
    </w:p>
    <w:p>
      <w:pPr>
        <w:spacing w:line="560" w:lineRule="exact"/>
        <w:ind w:firstLine="840" w:firstLineChars="300"/>
        <w:rPr>
          <w:rFonts w:ascii="黑体" w:hAnsi="黑体" w:eastAsia="黑体"/>
          <w:sz w:val="28"/>
          <w:szCs w:val="28"/>
        </w:rPr>
      </w:pPr>
      <w:r>
        <w:rPr>
          <w:rFonts w:hint="eastAsia" w:ascii="黑体" w:hAnsi="黑体" w:eastAsia="黑体"/>
          <w:sz w:val="28"/>
          <w:szCs w:val="28"/>
        </w:rPr>
        <w:t>二、主动公开政府信息情况</w:t>
      </w:r>
    </w:p>
    <w:tbl>
      <w:tblPr>
        <w:tblStyle w:val="5"/>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1908"/>
        <w:gridCol w:w="202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4" w:type="dxa"/>
            <w:gridSpan w:val="4"/>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信息内容</w:t>
            </w:r>
          </w:p>
        </w:tc>
        <w:tc>
          <w:tcPr>
            <w:tcW w:w="1908"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本年新制作数量</w:t>
            </w:r>
          </w:p>
        </w:tc>
        <w:tc>
          <w:tcPr>
            <w:tcW w:w="2025"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本年新公开数量</w:t>
            </w:r>
          </w:p>
        </w:tc>
        <w:tc>
          <w:tcPr>
            <w:tcW w:w="2295"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规    章</w:t>
            </w:r>
          </w:p>
        </w:tc>
        <w:tc>
          <w:tcPr>
            <w:tcW w:w="1908"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2025"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2295"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规范性文件</w:t>
            </w:r>
          </w:p>
          <w:p>
            <w:pPr>
              <w:spacing w:line="460" w:lineRule="exact"/>
              <w:jc w:val="center"/>
              <w:rPr>
                <w:rFonts w:ascii="仿宋" w:hAnsi="仿宋" w:eastAsia="仿宋" w:cs="仿宋"/>
                <w:sz w:val="24"/>
              </w:rPr>
            </w:pPr>
            <w:r>
              <w:rPr>
                <w:rFonts w:hint="eastAsia" w:ascii="仿宋" w:hAnsi="仿宋" w:eastAsia="仿宋" w:cs="仿宋"/>
                <w:color w:val="FF0000"/>
                <w:sz w:val="24"/>
              </w:rPr>
              <w:t>（本单位制发的）</w:t>
            </w:r>
          </w:p>
        </w:tc>
        <w:tc>
          <w:tcPr>
            <w:tcW w:w="1908"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2025"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2295"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4" w:type="dxa"/>
            <w:gridSpan w:val="4"/>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信息内容</w:t>
            </w:r>
          </w:p>
        </w:tc>
        <w:tc>
          <w:tcPr>
            <w:tcW w:w="1908"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上一年项目数量</w:t>
            </w:r>
          </w:p>
        </w:tc>
        <w:tc>
          <w:tcPr>
            <w:tcW w:w="2025"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本年增/减</w:t>
            </w:r>
          </w:p>
        </w:tc>
        <w:tc>
          <w:tcPr>
            <w:tcW w:w="2295"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行政许可</w:t>
            </w:r>
          </w:p>
        </w:tc>
        <w:tc>
          <w:tcPr>
            <w:tcW w:w="1908"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2025" w:type="dxa"/>
            <w:shd w:val="clear" w:color="auto" w:fill="auto"/>
            <w:vAlign w:val="center"/>
          </w:tcPr>
          <w:p>
            <w:pPr>
              <w:spacing w:line="460" w:lineRule="exact"/>
              <w:jc w:val="center"/>
              <w:rPr>
                <w:rFonts w:hint="default" w:ascii="仿宋" w:hAnsi="仿宋" w:eastAsia="仿宋" w:cs="仿宋"/>
                <w:color w:val="FF0000"/>
                <w:szCs w:val="21"/>
                <w:lang w:val="en-US" w:eastAsia="zh-CN"/>
              </w:rPr>
            </w:pPr>
            <w:r>
              <w:rPr>
                <w:rFonts w:hint="eastAsia" w:ascii="仿宋" w:hAnsi="仿宋" w:eastAsia="仿宋" w:cs="仿宋"/>
                <w:color w:val="FF0000"/>
                <w:szCs w:val="21"/>
                <w:lang w:val="en-US" w:eastAsia="zh-CN"/>
              </w:rPr>
              <w:t>197</w:t>
            </w:r>
          </w:p>
        </w:tc>
        <w:tc>
          <w:tcPr>
            <w:tcW w:w="2295"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其他对外管理服务事项</w:t>
            </w:r>
          </w:p>
        </w:tc>
        <w:tc>
          <w:tcPr>
            <w:tcW w:w="1908"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2025"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2295"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4" w:type="dxa"/>
            <w:gridSpan w:val="4"/>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信息内容</w:t>
            </w:r>
          </w:p>
        </w:tc>
        <w:tc>
          <w:tcPr>
            <w:tcW w:w="1908"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上一年项目数量</w:t>
            </w:r>
          </w:p>
        </w:tc>
        <w:tc>
          <w:tcPr>
            <w:tcW w:w="2025"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本年增/减</w:t>
            </w:r>
          </w:p>
        </w:tc>
        <w:tc>
          <w:tcPr>
            <w:tcW w:w="2295"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行政处罚</w:t>
            </w:r>
          </w:p>
        </w:tc>
        <w:tc>
          <w:tcPr>
            <w:tcW w:w="1908"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2025"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2295"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行政强制</w:t>
            </w:r>
          </w:p>
        </w:tc>
        <w:tc>
          <w:tcPr>
            <w:tcW w:w="1908"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2025"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2295"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4" w:type="dxa"/>
            <w:gridSpan w:val="4"/>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信息内容</w:t>
            </w:r>
          </w:p>
        </w:tc>
        <w:tc>
          <w:tcPr>
            <w:tcW w:w="1908"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上一年项目数量</w:t>
            </w:r>
          </w:p>
        </w:tc>
        <w:tc>
          <w:tcPr>
            <w:tcW w:w="4320" w:type="dxa"/>
            <w:gridSpan w:val="2"/>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行政事业性收费</w:t>
            </w:r>
          </w:p>
        </w:tc>
        <w:tc>
          <w:tcPr>
            <w:tcW w:w="1908" w:type="dxa"/>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c>
          <w:tcPr>
            <w:tcW w:w="4320" w:type="dxa"/>
            <w:gridSpan w:val="2"/>
            <w:shd w:val="clear" w:color="auto" w:fill="auto"/>
            <w:vAlign w:val="center"/>
          </w:tcPr>
          <w:p>
            <w:pPr>
              <w:spacing w:line="460" w:lineRule="exact"/>
              <w:jc w:val="center"/>
              <w:rPr>
                <w:rFonts w:ascii="仿宋" w:hAnsi="仿宋" w:eastAsia="仿宋" w:cs="仿宋"/>
                <w:color w:val="FF0000"/>
                <w:szCs w:val="21"/>
              </w:rPr>
            </w:pPr>
            <w:r>
              <w:rPr>
                <w:rFonts w:hint="eastAsia" w:ascii="仿宋" w:hAnsi="仿宋" w:eastAsia="仿宋" w:cs="仿宋"/>
                <w:color w:val="FF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4" w:type="dxa"/>
            <w:gridSpan w:val="4"/>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信息内容</w:t>
            </w:r>
          </w:p>
        </w:tc>
        <w:tc>
          <w:tcPr>
            <w:tcW w:w="1908"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采购项目数量</w:t>
            </w:r>
          </w:p>
        </w:tc>
        <w:tc>
          <w:tcPr>
            <w:tcW w:w="4320" w:type="dxa"/>
            <w:gridSpan w:val="2"/>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shd w:val="clear" w:color="auto" w:fill="auto"/>
            <w:vAlign w:val="center"/>
          </w:tcPr>
          <w:p>
            <w:pPr>
              <w:spacing w:line="460" w:lineRule="exact"/>
              <w:jc w:val="center"/>
              <w:rPr>
                <w:rFonts w:ascii="仿宋" w:hAnsi="仿宋" w:eastAsia="仿宋" w:cs="仿宋"/>
                <w:sz w:val="24"/>
              </w:rPr>
            </w:pPr>
            <w:r>
              <w:rPr>
                <w:rFonts w:hint="eastAsia" w:ascii="仿宋" w:hAnsi="仿宋" w:eastAsia="仿宋" w:cs="仿宋"/>
                <w:sz w:val="24"/>
              </w:rPr>
              <w:t>政府集中采购</w:t>
            </w:r>
          </w:p>
        </w:tc>
        <w:tc>
          <w:tcPr>
            <w:tcW w:w="1908" w:type="dxa"/>
            <w:shd w:val="clear" w:color="auto" w:fill="auto"/>
            <w:vAlign w:val="center"/>
          </w:tcPr>
          <w:p>
            <w:pPr>
              <w:spacing w:line="460" w:lineRule="exact"/>
              <w:jc w:val="center"/>
              <w:rPr>
                <w:rFonts w:hint="eastAsia" w:ascii="仿宋" w:hAnsi="仿宋" w:eastAsia="仿宋" w:cs="仿宋"/>
                <w:color w:val="FF0000"/>
                <w:szCs w:val="21"/>
                <w:lang w:val="en-US" w:eastAsia="zh-CN"/>
              </w:rPr>
            </w:pPr>
            <w:r>
              <w:rPr>
                <w:rFonts w:hint="eastAsia" w:ascii="仿宋" w:hAnsi="仿宋" w:eastAsia="仿宋" w:cs="仿宋"/>
                <w:color w:val="FF0000"/>
                <w:szCs w:val="21"/>
                <w:lang w:val="en-US" w:eastAsia="zh-CN"/>
              </w:rPr>
              <w:t>3</w:t>
            </w:r>
          </w:p>
        </w:tc>
        <w:tc>
          <w:tcPr>
            <w:tcW w:w="4320" w:type="dxa"/>
            <w:gridSpan w:val="2"/>
            <w:shd w:val="clear" w:color="auto" w:fill="auto"/>
            <w:vAlign w:val="center"/>
          </w:tcPr>
          <w:p>
            <w:pPr>
              <w:spacing w:line="460" w:lineRule="exact"/>
              <w:jc w:val="center"/>
              <w:rPr>
                <w:rFonts w:hint="default" w:ascii="仿宋" w:hAnsi="仿宋" w:eastAsia="仿宋" w:cs="仿宋"/>
                <w:color w:val="FF0000"/>
                <w:szCs w:val="21"/>
                <w:lang w:val="en-US" w:eastAsia="zh-CN"/>
              </w:rPr>
            </w:pPr>
            <w:r>
              <w:rPr>
                <w:rFonts w:hint="eastAsia" w:ascii="仿宋" w:hAnsi="仿宋" w:eastAsia="仿宋" w:cs="仿宋"/>
                <w:color w:val="FF0000"/>
                <w:szCs w:val="21"/>
                <w:lang w:val="en-US" w:eastAsia="zh-CN"/>
              </w:rPr>
              <w:t>2405350</w:t>
            </w:r>
          </w:p>
        </w:tc>
      </w:tr>
    </w:tbl>
    <w:p>
      <w:pPr>
        <w:spacing w:line="560" w:lineRule="exact"/>
        <w:ind w:firstLine="480" w:firstLineChars="200"/>
        <w:rPr>
          <w:rFonts w:hint="eastAsia" w:asciiTheme="minorEastAsia" w:hAnsiTheme="minorEastAsia"/>
          <w:sz w:val="24"/>
        </w:rPr>
      </w:pPr>
    </w:p>
    <w:p>
      <w:pPr>
        <w:spacing w:line="560" w:lineRule="exact"/>
        <w:ind w:firstLine="480" w:firstLineChars="200"/>
        <w:rPr>
          <w:rFonts w:hint="eastAsia" w:asciiTheme="minorEastAsia" w:hAnsiTheme="minorEastAsia"/>
          <w:sz w:val="24"/>
        </w:rPr>
      </w:pPr>
    </w:p>
    <w:p>
      <w:pPr>
        <w:spacing w:line="560" w:lineRule="exact"/>
        <w:ind w:firstLine="480" w:firstLineChars="200"/>
        <w:rPr>
          <w:rFonts w:hint="eastAsia" w:asciiTheme="minorEastAsia" w:hAnsiTheme="minorEastAsia"/>
          <w:sz w:val="24"/>
        </w:rPr>
      </w:pPr>
    </w:p>
    <w:p>
      <w:pPr>
        <w:spacing w:line="560" w:lineRule="exact"/>
        <w:ind w:firstLine="640" w:firstLineChars="200"/>
        <w:rPr>
          <w:rFonts w:ascii="黑体" w:hAnsi="黑体" w:eastAsia="黑体"/>
          <w:sz w:val="28"/>
          <w:szCs w:val="28"/>
        </w:rPr>
      </w:pPr>
      <w:r>
        <w:rPr>
          <w:rFonts w:ascii="宋体" w:hAnsi="宋体" w:eastAsia="宋体"/>
          <w:sz w:val="32"/>
          <w:szCs w:val="32"/>
        </w:rPr>
        <w:br w:type="page"/>
      </w:r>
      <w:r>
        <w:rPr>
          <w:rFonts w:hint="eastAsia" w:ascii="黑体" w:hAnsi="黑体" w:eastAsia="黑体"/>
          <w:sz w:val="28"/>
          <w:szCs w:val="28"/>
        </w:rPr>
        <w:t>三、收到和处理政府信息公开申请情况</w:t>
      </w:r>
    </w:p>
    <w:tbl>
      <w:tblPr>
        <w:tblStyle w:val="5"/>
        <w:tblW w:w="924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089"/>
        <w:gridCol w:w="872"/>
        <w:gridCol w:w="2535"/>
        <w:gridCol w:w="418"/>
        <w:gridCol w:w="696"/>
        <w:gridCol w:w="696"/>
        <w:gridCol w:w="893"/>
        <w:gridCol w:w="833"/>
        <w:gridCol w:w="584"/>
        <w:gridCol w:w="62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496"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kern w:val="0"/>
                <w:szCs w:val="21"/>
              </w:rPr>
              <w:t>（本列数据的勾稽关系为：第一项加第二项之和，等于第三项加第四项之和）</w:t>
            </w:r>
          </w:p>
        </w:tc>
        <w:tc>
          <w:tcPr>
            <w:tcW w:w="4746"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kern w:val="0"/>
                <w:szCs w:val="21"/>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496"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41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autoSpaceDE w:val="0"/>
              <w:snapToGrid w:val="0"/>
              <w:spacing w:line="300" w:lineRule="exact"/>
              <w:jc w:val="center"/>
              <w:rPr>
                <w:rFonts w:cs="黑体"/>
                <w:szCs w:val="21"/>
              </w:rPr>
            </w:pPr>
            <w:r>
              <w:rPr>
                <w:rFonts w:hint="eastAsia"/>
                <w:kern w:val="0"/>
                <w:szCs w:val="21"/>
              </w:rPr>
              <w:t>自然人</w:t>
            </w:r>
          </w:p>
        </w:tc>
        <w:tc>
          <w:tcPr>
            <w:tcW w:w="370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utoSpaceDE w:val="0"/>
              <w:snapToGrid w:val="0"/>
              <w:spacing w:line="300" w:lineRule="exact"/>
              <w:jc w:val="center"/>
              <w:rPr>
                <w:rFonts w:cs="黑体"/>
                <w:szCs w:val="21"/>
              </w:rPr>
            </w:pPr>
            <w:r>
              <w:rPr>
                <w:rFonts w:hint="eastAsia"/>
                <w:kern w:val="0"/>
                <w:szCs w:val="21"/>
              </w:rPr>
              <w:t>法人或其他组织</w:t>
            </w:r>
          </w:p>
        </w:tc>
        <w:tc>
          <w:tcPr>
            <w:tcW w:w="62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kern w:val="0"/>
                <w:szCs w:val="21"/>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496"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418" w:type="dxa"/>
            <w:vMerge w:val="continue"/>
            <w:tcBorders>
              <w:top w:val="nil"/>
              <w:left w:val="nil"/>
              <w:bottom w:val="single" w:color="auto" w:sz="8" w:space="0"/>
              <w:right w:val="single" w:color="auto" w:sz="8" w:space="0"/>
            </w:tcBorders>
            <w:vAlign w:val="center"/>
          </w:tcPr>
          <w:p>
            <w:pPr>
              <w:snapToGrid w:val="0"/>
              <w:spacing w:line="300" w:lineRule="exact"/>
              <w:jc w:val="left"/>
              <w:rPr>
                <w:rFonts w:cs="黑体"/>
                <w:szCs w:val="21"/>
              </w:rPr>
            </w:pP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autoSpaceDE w:val="0"/>
              <w:snapToGrid w:val="0"/>
              <w:spacing w:line="300" w:lineRule="exact"/>
              <w:jc w:val="center"/>
              <w:rPr>
                <w:rFonts w:cs="黑体"/>
                <w:szCs w:val="21"/>
              </w:rPr>
            </w:pPr>
            <w:r>
              <w:rPr>
                <w:rFonts w:hint="eastAsia"/>
                <w:kern w:val="0"/>
                <w:szCs w:val="21"/>
              </w:rPr>
              <w:t>商业企业</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autoSpaceDE w:val="0"/>
              <w:snapToGrid w:val="0"/>
              <w:spacing w:line="300" w:lineRule="exact"/>
              <w:jc w:val="center"/>
              <w:rPr>
                <w:rFonts w:cs="黑体"/>
                <w:szCs w:val="21"/>
              </w:rPr>
            </w:pPr>
            <w:r>
              <w:rPr>
                <w:rFonts w:hint="eastAsia"/>
                <w:kern w:val="0"/>
                <w:szCs w:val="21"/>
              </w:rPr>
              <w:t>科研机构</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utoSpaceDE w:val="0"/>
              <w:snapToGrid w:val="0"/>
              <w:spacing w:line="300" w:lineRule="exact"/>
              <w:jc w:val="center"/>
              <w:rPr>
                <w:rFonts w:cs="黑体"/>
                <w:szCs w:val="21"/>
              </w:rPr>
            </w:pPr>
            <w:r>
              <w:rPr>
                <w:rFonts w:hint="eastAsia"/>
                <w:kern w:val="0"/>
                <w:szCs w:val="21"/>
              </w:rPr>
              <w:t>社会公益组织</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utoSpaceDE w:val="0"/>
              <w:snapToGrid w:val="0"/>
              <w:spacing w:line="300" w:lineRule="exact"/>
              <w:jc w:val="center"/>
              <w:rPr>
                <w:rFonts w:cs="黑体"/>
                <w:szCs w:val="21"/>
              </w:rPr>
            </w:pPr>
            <w:r>
              <w:rPr>
                <w:rFonts w:hint="eastAsia"/>
                <w:kern w:val="0"/>
                <w:szCs w:val="21"/>
              </w:rPr>
              <w:t>法律服务机构</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utoSpaceDE w:val="0"/>
              <w:snapToGrid w:val="0"/>
              <w:spacing w:line="300" w:lineRule="exact"/>
              <w:jc w:val="center"/>
              <w:rPr>
                <w:rFonts w:cs="黑体"/>
                <w:szCs w:val="21"/>
              </w:rPr>
            </w:pPr>
            <w:r>
              <w:rPr>
                <w:rFonts w:hint="eastAsia"/>
                <w:kern w:val="0"/>
                <w:szCs w:val="21"/>
              </w:rPr>
              <w:t>其他</w:t>
            </w:r>
          </w:p>
        </w:tc>
        <w:tc>
          <w:tcPr>
            <w:tcW w:w="626" w:type="dxa"/>
            <w:vMerge w:val="continue"/>
            <w:tcBorders>
              <w:top w:val="single" w:color="auto" w:sz="8" w:space="0"/>
              <w:left w:val="nil"/>
              <w:bottom w:val="single" w:color="auto" w:sz="8" w:space="0"/>
              <w:right w:val="single" w:color="auto" w:sz="8" w:space="0"/>
            </w:tcBorders>
            <w:vAlign w:val="center"/>
          </w:tcPr>
          <w:p>
            <w:pPr>
              <w:widowControl/>
              <w:snapToGrid w:val="0"/>
              <w:spacing w:line="300" w:lineRule="exact"/>
              <w:jc w:val="left"/>
              <w:rPr>
                <w:rFonts w:cs="黑体"/>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49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pacing w:val="-6"/>
                <w:szCs w:val="21"/>
              </w:rPr>
            </w:pPr>
            <w:r>
              <w:rPr>
                <w:rFonts w:hint="eastAsia"/>
                <w:spacing w:val="-6"/>
                <w:kern w:val="0"/>
                <w:szCs w:val="21"/>
              </w:rPr>
              <w:t>一、本年新收政府信息公开申请数量</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49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pacing w:val="-6"/>
                <w:szCs w:val="21"/>
              </w:rPr>
            </w:pPr>
            <w:r>
              <w:rPr>
                <w:rFonts w:hint="eastAsia"/>
                <w:spacing w:val="-6"/>
                <w:kern w:val="0"/>
                <w:szCs w:val="21"/>
              </w:rPr>
              <w:t>二、上年结转政府信息公开申请数量</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cs="黑体"/>
                <w:szCs w:val="21"/>
              </w:rPr>
            </w:pPr>
            <w:r>
              <w:rPr>
                <w:rFonts w:hint="eastAsia"/>
                <w:kern w:val="0"/>
                <w:szCs w:val="21"/>
              </w:rPr>
              <w:t>三、本年度办理结果</w:t>
            </w:r>
          </w:p>
        </w:tc>
        <w:tc>
          <w:tcPr>
            <w:tcW w:w="3407"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cs="黑体"/>
                <w:szCs w:val="21"/>
              </w:rPr>
            </w:pPr>
            <w:r>
              <w:rPr>
                <w:rFonts w:hint="eastAsia" w:eastAsia="楷体"/>
                <w:kern w:val="0"/>
                <w:szCs w:val="21"/>
              </w:rPr>
              <w:t>（一）予以公开</w:t>
            </w:r>
          </w:p>
        </w:tc>
        <w:tc>
          <w:tcPr>
            <w:tcW w:w="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3407"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cs="黑体"/>
                <w:szCs w:val="21"/>
              </w:rPr>
            </w:pPr>
            <w:r>
              <w:rPr>
                <w:rFonts w:hint="eastAsia" w:eastAsia="楷体"/>
                <w:kern w:val="0"/>
                <w:szCs w:val="21"/>
              </w:rPr>
              <w:t>（</w:t>
            </w:r>
            <w:r>
              <w:rPr>
                <w:rFonts w:hint="eastAsia" w:eastAsia="楷体"/>
                <w:spacing w:val="-2"/>
                <w:kern w:val="0"/>
                <w:szCs w:val="21"/>
              </w:rPr>
              <w:t>二）部分公开（区分处理的，只计这一情形，不计其他情形）</w:t>
            </w:r>
          </w:p>
        </w:tc>
        <w:tc>
          <w:tcPr>
            <w:tcW w:w="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restart"/>
            <w:tcBorders>
              <w:top w:val="nil"/>
              <w:left w:val="nil"/>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cs="黑体"/>
                <w:szCs w:val="21"/>
              </w:rPr>
            </w:pPr>
            <w:r>
              <w:rPr>
                <w:rFonts w:hint="eastAsia" w:eastAsia="楷体"/>
                <w:kern w:val="0"/>
                <w:szCs w:val="21"/>
              </w:rPr>
              <w:t>（三）不予公开</w:t>
            </w:r>
          </w:p>
        </w:tc>
        <w:tc>
          <w:tcPr>
            <w:tcW w:w="25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cs="黑体"/>
                <w:szCs w:val="21"/>
              </w:rPr>
            </w:pPr>
            <w:r>
              <w:rPr>
                <w:rFonts w:hint="eastAsia" w:eastAsia="楷体"/>
                <w:kern w:val="0"/>
                <w:szCs w:val="21"/>
              </w:rPr>
              <w:t>1.属于国家秘密</w:t>
            </w:r>
          </w:p>
        </w:tc>
        <w:tc>
          <w:tcPr>
            <w:tcW w:w="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cs="黑体"/>
                <w:szCs w:val="21"/>
              </w:rPr>
            </w:pPr>
            <w:r>
              <w:rPr>
                <w:rFonts w:hint="eastAsia" w:eastAsia="楷体"/>
                <w:kern w:val="0"/>
                <w:szCs w:val="21"/>
              </w:rPr>
              <w:t>2.其他法律行政法规禁止公开</w:t>
            </w:r>
          </w:p>
        </w:tc>
        <w:tc>
          <w:tcPr>
            <w:tcW w:w="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cs="黑体"/>
                <w:szCs w:val="21"/>
              </w:rPr>
            </w:pPr>
            <w:r>
              <w:rPr>
                <w:rFonts w:hint="eastAsia" w:eastAsia="楷体"/>
                <w:kern w:val="0"/>
                <w:szCs w:val="21"/>
              </w:rPr>
              <w:t>3.危及“三安全一稳定”</w:t>
            </w:r>
          </w:p>
        </w:tc>
        <w:tc>
          <w:tcPr>
            <w:tcW w:w="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cs="黑体"/>
                <w:szCs w:val="21"/>
              </w:rPr>
            </w:pPr>
            <w:r>
              <w:rPr>
                <w:rFonts w:hint="eastAsia" w:eastAsia="楷体"/>
                <w:kern w:val="0"/>
                <w:szCs w:val="21"/>
              </w:rPr>
              <w:t>4.保护第三方合法权益</w:t>
            </w:r>
          </w:p>
        </w:tc>
        <w:tc>
          <w:tcPr>
            <w:tcW w:w="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Calibri"/>
                <w:kern w:val="0"/>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eastAsia="楷体" w:cs="黑体"/>
                <w:szCs w:val="21"/>
              </w:rPr>
            </w:pPr>
            <w:r>
              <w:rPr>
                <w:rFonts w:hint="eastAsia" w:eastAsia="楷体"/>
                <w:kern w:val="0"/>
                <w:szCs w:val="21"/>
              </w:rPr>
              <w:t>5.属于三类内部事务信息</w:t>
            </w:r>
          </w:p>
        </w:tc>
        <w:tc>
          <w:tcPr>
            <w:tcW w:w="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cs="黑体"/>
                <w:szCs w:val="21"/>
              </w:rPr>
            </w:pPr>
            <w:r>
              <w:rPr>
                <w:rFonts w:hint="eastAsia" w:eastAsia="楷体"/>
                <w:kern w:val="0"/>
                <w:szCs w:val="21"/>
              </w:rPr>
              <w:t>6.属于四类过程性信息</w:t>
            </w:r>
          </w:p>
        </w:tc>
        <w:tc>
          <w:tcPr>
            <w:tcW w:w="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pacing w:val="-4"/>
                <w:szCs w:val="21"/>
              </w:rPr>
            </w:pPr>
            <w:r>
              <w:rPr>
                <w:rFonts w:hint="eastAsia" w:eastAsia="楷体"/>
                <w:spacing w:val="-4"/>
                <w:kern w:val="0"/>
                <w:szCs w:val="21"/>
              </w:rPr>
              <w:t>7.属于行政执法案卷</w:t>
            </w:r>
          </w:p>
        </w:tc>
        <w:tc>
          <w:tcPr>
            <w:tcW w:w="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Calibri"/>
                <w:kern w:val="0"/>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pacing w:val="-4"/>
                <w:szCs w:val="21"/>
              </w:rPr>
            </w:pPr>
            <w:r>
              <w:rPr>
                <w:rFonts w:hint="eastAsia" w:eastAsia="楷体"/>
                <w:spacing w:val="-4"/>
                <w:kern w:val="0"/>
                <w:szCs w:val="21"/>
              </w:rPr>
              <w:t>8.属于行政查询事项</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zCs w:val="21"/>
              </w:rPr>
            </w:pPr>
            <w:r>
              <w:rPr>
                <w:rFonts w:hint="eastAsia" w:eastAsia="楷体"/>
                <w:kern w:val="0"/>
                <w:szCs w:val="21"/>
              </w:rPr>
              <w:t>（四）无法提供</w:t>
            </w:r>
          </w:p>
        </w:tc>
        <w:tc>
          <w:tcPr>
            <w:tcW w:w="25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zCs w:val="21"/>
              </w:rPr>
            </w:pPr>
            <w:r>
              <w:rPr>
                <w:rFonts w:hint="eastAsia" w:eastAsia="楷体"/>
                <w:kern w:val="0"/>
                <w:szCs w:val="21"/>
              </w:rPr>
              <w:t>1.本机关不掌握相关政府信息</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Calibri"/>
                <w:kern w:val="0"/>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zCs w:val="21"/>
              </w:rPr>
            </w:pPr>
            <w:r>
              <w:rPr>
                <w:rFonts w:hint="eastAsia" w:eastAsia="楷体"/>
                <w:kern w:val="0"/>
                <w:szCs w:val="21"/>
              </w:rPr>
              <w:t>2.没有现成信息需要另行制作</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zCs w:val="21"/>
              </w:rPr>
            </w:pPr>
            <w:r>
              <w:rPr>
                <w:rFonts w:hint="eastAsia" w:eastAsia="楷体"/>
                <w:kern w:val="0"/>
                <w:szCs w:val="21"/>
              </w:rPr>
              <w:t>3.补正后申请内容仍不明确</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Calibri"/>
                <w:kern w:val="0"/>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zCs w:val="21"/>
              </w:rPr>
            </w:pPr>
            <w:r>
              <w:rPr>
                <w:rFonts w:hint="eastAsia" w:eastAsia="楷体"/>
                <w:kern w:val="0"/>
                <w:szCs w:val="21"/>
              </w:rPr>
              <w:t>（五）不予处理</w:t>
            </w:r>
          </w:p>
        </w:tc>
        <w:tc>
          <w:tcPr>
            <w:tcW w:w="25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zCs w:val="21"/>
              </w:rPr>
            </w:pPr>
            <w:r>
              <w:rPr>
                <w:rFonts w:hint="eastAsia" w:eastAsia="楷体"/>
                <w:kern w:val="0"/>
                <w:szCs w:val="21"/>
              </w:rPr>
              <w:t>1.信访举报投诉类申请</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zCs w:val="21"/>
              </w:rPr>
            </w:pPr>
            <w:r>
              <w:rPr>
                <w:rFonts w:hint="eastAsia" w:eastAsia="楷体"/>
                <w:kern w:val="0"/>
                <w:szCs w:val="21"/>
              </w:rPr>
              <w:t>2.重复申请</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zCs w:val="21"/>
              </w:rPr>
            </w:pPr>
            <w:r>
              <w:rPr>
                <w:rFonts w:hint="eastAsia" w:eastAsia="楷体"/>
                <w:kern w:val="0"/>
                <w:szCs w:val="21"/>
              </w:rPr>
              <w:t>3.要求提供公开出版物</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zCs w:val="21"/>
              </w:rPr>
            </w:pPr>
            <w:r>
              <w:rPr>
                <w:rFonts w:hint="eastAsia" w:eastAsia="楷体"/>
                <w:kern w:val="0"/>
                <w:szCs w:val="21"/>
              </w:rPr>
              <w:t>4.无正当理由大量反复申请</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872" w:type="dxa"/>
            <w:vMerge w:val="continue"/>
            <w:tcBorders>
              <w:top w:val="nil"/>
              <w:left w:val="nil"/>
              <w:bottom w:val="single" w:color="auto" w:sz="8" w:space="0"/>
              <w:right w:val="single" w:color="auto" w:sz="8" w:space="0"/>
            </w:tcBorders>
            <w:vAlign w:val="center"/>
          </w:tcPr>
          <w:p>
            <w:pPr>
              <w:widowControl/>
              <w:snapToGrid w:val="0"/>
              <w:spacing w:line="300" w:lineRule="exact"/>
              <w:jc w:val="left"/>
              <w:rPr>
                <w:rFonts w:cs="黑体"/>
                <w:szCs w:val="21"/>
              </w:rPr>
            </w:pPr>
          </w:p>
        </w:tc>
        <w:tc>
          <w:tcPr>
            <w:tcW w:w="25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zCs w:val="21"/>
              </w:rPr>
            </w:pPr>
            <w:r>
              <w:rPr>
                <w:rFonts w:hint="eastAsia" w:eastAsia="楷体"/>
                <w:kern w:val="0"/>
                <w:szCs w:val="21"/>
              </w:rPr>
              <w:t>5.要求行政机关确认或重新出具已获取信息</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340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left"/>
              <w:rPr>
                <w:rFonts w:cs="黑体"/>
                <w:szCs w:val="21"/>
              </w:rPr>
            </w:pPr>
            <w:r>
              <w:rPr>
                <w:rFonts w:hint="eastAsia" w:eastAsia="楷体"/>
                <w:kern w:val="0"/>
                <w:szCs w:val="21"/>
              </w:rPr>
              <w:t>（六）其他处理</w:t>
            </w:r>
          </w:p>
        </w:tc>
        <w:tc>
          <w:tcPr>
            <w:tcW w:w="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89" w:type="dxa"/>
            <w:vMerge w:val="continue"/>
            <w:tcBorders>
              <w:top w:val="nil"/>
              <w:left w:val="single" w:color="auto" w:sz="8" w:space="0"/>
              <w:bottom w:val="single" w:color="auto" w:sz="8" w:space="0"/>
              <w:right w:val="single" w:color="auto" w:sz="8" w:space="0"/>
            </w:tcBorders>
            <w:vAlign w:val="center"/>
          </w:tcPr>
          <w:p>
            <w:pPr>
              <w:widowControl/>
              <w:snapToGrid w:val="0"/>
              <w:spacing w:line="300" w:lineRule="exact"/>
              <w:jc w:val="left"/>
              <w:rPr>
                <w:rFonts w:cs="黑体"/>
                <w:szCs w:val="21"/>
              </w:rPr>
            </w:pPr>
          </w:p>
        </w:tc>
        <w:tc>
          <w:tcPr>
            <w:tcW w:w="3407"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cs="黑体"/>
                <w:szCs w:val="21"/>
              </w:rPr>
            </w:pPr>
            <w:r>
              <w:rPr>
                <w:rFonts w:hint="eastAsia" w:eastAsia="楷体"/>
                <w:kern w:val="0"/>
                <w:szCs w:val="21"/>
              </w:rPr>
              <w:t>（七）总计</w:t>
            </w:r>
          </w:p>
        </w:tc>
        <w:tc>
          <w:tcPr>
            <w:tcW w:w="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496"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autoSpaceDE w:val="0"/>
              <w:snapToGrid w:val="0"/>
              <w:spacing w:line="300" w:lineRule="exact"/>
              <w:jc w:val="left"/>
              <w:rPr>
                <w:rFonts w:cs="黑体"/>
                <w:szCs w:val="21"/>
              </w:rPr>
            </w:pPr>
            <w:r>
              <w:rPr>
                <w:rFonts w:hint="eastAsia"/>
                <w:kern w:val="0"/>
                <w:szCs w:val="21"/>
              </w:rPr>
              <w:t>四、结转下年度继续办理</w:t>
            </w:r>
          </w:p>
        </w:tc>
        <w:tc>
          <w:tcPr>
            <w:tcW w:w="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napToGrid w:val="0"/>
              <w:spacing w:line="300" w:lineRule="exact"/>
              <w:jc w:val="center"/>
              <w:rPr>
                <w:rFonts w:cs="黑体"/>
                <w:szCs w:val="21"/>
              </w:rPr>
            </w:pPr>
            <w:r>
              <w:rPr>
                <w:rFonts w:hint="eastAsia" w:cs="黑体"/>
                <w:szCs w:val="21"/>
              </w:rPr>
              <w:t>0</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autoSpaceDE w:val="0"/>
              <w:snapToGrid w:val="0"/>
              <w:spacing w:line="300" w:lineRule="exact"/>
              <w:jc w:val="center"/>
              <w:rPr>
                <w:rFonts w:cs="黑体"/>
                <w:szCs w:val="21"/>
              </w:rPr>
            </w:pPr>
            <w:r>
              <w:rPr>
                <w:rFonts w:hint="eastAsia" w:cs="黑体"/>
                <w:szCs w:val="21"/>
              </w:rPr>
              <w:t>0</w:t>
            </w:r>
          </w:p>
        </w:tc>
      </w:tr>
    </w:tbl>
    <w:p>
      <w:pPr>
        <w:spacing w:line="560" w:lineRule="exact"/>
        <w:ind w:firstLine="640" w:firstLineChars="200"/>
        <w:rPr>
          <w:rFonts w:ascii="宋体" w:hAnsi="宋体" w:eastAsia="宋体"/>
          <w:sz w:val="32"/>
          <w:szCs w:val="32"/>
        </w:rPr>
      </w:pPr>
    </w:p>
    <w:p>
      <w:pPr>
        <w:spacing w:line="560" w:lineRule="exact"/>
        <w:rPr>
          <w:rFonts w:hint="eastAsia" w:ascii="黑体" w:hAnsi="黑体" w:eastAsia="黑体"/>
          <w:sz w:val="28"/>
          <w:szCs w:val="28"/>
        </w:rPr>
      </w:pPr>
    </w:p>
    <w:p>
      <w:pPr>
        <w:spacing w:line="560" w:lineRule="exact"/>
        <w:ind w:firstLine="560" w:firstLineChars="200"/>
        <w:rPr>
          <w:rFonts w:ascii="黑体" w:hAnsi="黑体" w:eastAsia="黑体"/>
          <w:sz w:val="28"/>
          <w:szCs w:val="28"/>
        </w:rPr>
      </w:pPr>
      <w:r>
        <w:rPr>
          <w:rFonts w:hint="eastAsia" w:ascii="黑体" w:hAnsi="黑体" w:eastAsia="黑体"/>
          <w:sz w:val="28"/>
          <w:szCs w:val="28"/>
        </w:rPr>
        <w:t>四、政府信息公开行政复议、行政诉讼情况</w:t>
      </w:r>
    </w:p>
    <w:tbl>
      <w:tblPr>
        <w:tblStyle w:val="5"/>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560"/>
        <w:gridCol w:w="560"/>
        <w:gridCol w:w="560"/>
        <w:gridCol w:w="840"/>
        <w:gridCol w:w="390"/>
        <w:gridCol w:w="450"/>
        <w:gridCol w:w="560"/>
        <w:gridCol w:w="560"/>
        <w:gridCol w:w="560"/>
        <w:gridCol w:w="560"/>
        <w:gridCol w:w="560"/>
        <w:gridCol w:w="560"/>
        <w:gridCol w:w="56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810" w:type="dxa"/>
            <w:gridSpan w:val="5"/>
            <w:shd w:val="clear" w:color="auto" w:fill="auto"/>
            <w:vAlign w:val="center"/>
          </w:tcPr>
          <w:p>
            <w:pPr>
              <w:spacing w:line="540" w:lineRule="exact"/>
              <w:jc w:val="center"/>
              <w:rPr>
                <w:rFonts w:hint="eastAsia" w:ascii="仿宋" w:hAnsi="仿宋" w:eastAsia="仿宋" w:cs="仿宋"/>
                <w:sz w:val="24"/>
              </w:rPr>
            </w:pPr>
            <w:r>
              <w:rPr>
                <w:rFonts w:hint="eastAsia" w:ascii="仿宋" w:hAnsi="仿宋" w:eastAsia="仿宋" w:cs="仿宋"/>
                <w:sz w:val="24"/>
              </w:rPr>
              <w:t>行政复议</w:t>
            </w:r>
          </w:p>
          <w:p>
            <w:pPr>
              <w:spacing w:line="540" w:lineRule="exact"/>
              <w:jc w:val="center"/>
              <w:rPr>
                <w:rFonts w:ascii="仿宋" w:hAnsi="仿宋" w:eastAsia="仿宋" w:cs="仿宋"/>
                <w:sz w:val="24"/>
              </w:rPr>
            </w:pPr>
            <w:r>
              <w:rPr>
                <w:rFonts w:hint="eastAsia" w:ascii="仿宋" w:hAnsi="仿宋" w:eastAsia="仿宋" w:cs="仿宋"/>
                <w:b/>
                <w:color w:val="FF0000"/>
                <w:sz w:val="24"/>
              </w:rPr>
              <w:t>（因政府信息公开被行政复议）</w:t>
            </w:r>
          </w:p>
        </w:tc>
        <w:tc>
          <w:tcPr>
            <w:tcW w:w="5320" w:type="dxa"/>
            <w:gridSpan w:val="10"/>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行政诉讼</w:t>
            </w:r>
            <w:r>
              <w:rPr>
                <w:rFonts w:ascii="仿宋" w:hAnsi="仿宋" w:eastAsia="仿宋" w:cs="仿宋"/>
                <w:sz w:val="24"/>
              </w:rPr>
              <w:br w:type="textWrapping"/>
            </w:r>
            <w:r>
              <w:rPr>
                <w:rFonts w:hint="eastAsia" w:ascii="仿宋" w:hAnsi="仿宋" w:eastAsia="仿宋" w:cs="仿宋"/>
                <w:b/>
                <w:color w:val="FF0000"/>
                <w:sz w:val="24"/>
              </w:rPr>
              <w:t>（因政府信息公开被行政诉讼）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90" w:type="dxa"/>
            <w:vMerge w:val="restart"/>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结果维护</w:t>
            </w:r>
          </w:p>
        </w:tc>
        <w:tc>
          <w:tcPr>
            <w:tcW w:w="560" w:type="dxa"/>
            <w:vMerge w:val="restart"/>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结果纠正</w:t>
            </w:r>
          </w:p>
        </w:tc>
        <w:tc>
          <w:tcPr>
            <w:tcW w:w="560" w:type="dxa"/>
            <w:vMerge w:val="restart"/>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其他结果</w:t>
            </w:r>
          </w:p>
        </w:tc>
        <w:tc>
          <w:tcPr>
            <w:tcW w:w="560" w:type="dxa"/>
            <w:vMerge w:val="restart"/>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尚未审结</w:t>
            </w:r>
          </w:p>
        </w:tc>
        <w:tc>
          <w:tcPr>
            <w:tcW w:w="840" w:type="dxa"/>
            <w:vMerge w:val="restart"/>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总计</w:t>
            </w:r>
          </w:p>
        </w:tc>
        <w:tc>
          <w:tcPr>
            <w:tcW w:w="2520" w:type="dxa"/>
            <w:gridSpan w:val="5"/>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color w:val="333333"/>
                <w:sz w:val="24"/>
                <w:shd w:val="clear" w:color="auto" w:fill="FFFFFF"/>
              </w:rPr>
              <w:t>未经复议直接起诉</w:t>
            </w:r>
          </w:p>
        </w:tc>
        <w:tc>
          <w:tcPr>
            <w:tcW w:w="2800" w:type="dxa"/>
            <w:gridSpan w:val="5"/>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90" w:type="dxa"/>
            <w:vMerge w:val="continue"/>
            <w:shd w:val="clear" w:color="auto" w:fill="auto"/>
            <w:vAlign w:val="center"/>
          </w:tcPr>
          <w:p>
            <w:pPr>
              <w:spacing w:line="540" w:lineRule="exact"/>
              <w:jc w:val="center"/>
              <w:rPr>
                <w:rFonts w:ascii="仿宋" w:hAnsi="仿宋" w:eastAsia="仿宋" w:cs="仿宋"/>
                <w:sz w:val="24"/>
              </w:rPr>
            </w:pPr>
          </w:p>
        </w:tc>
        <w:tc>
          <w:tcPr>
            <w:tcW w:w="560" w:type="dxa"/>
            <w:vMerge w:val="continue"/>
            <w:shd w:val="clear" w:color="auto" w:fill="auto"/>
            <w:vAlign w:val="center"/>
          </w:tcPr>
          <w:p>
            <w:pPr>
              <w:spacing w:line="540" w:lineRule="exact"/>
              <w:jc w:val="center"/>
              <w:rPr>
                <w:rFonts w:ascii="仿宋" w:hAnsi="仿宋" w:eastAsia="仿宋" w:cs="仿宋"/>
                <w:sz w:val="24"/>
              </w:rPr>
            </w:pPr>
          </w:p>
        </w:tc>
        <w:tc>
          <w:tcPr>
            <w:tcW w:w="560" w:type="dxa"/>
            <w:vMerge w:val="continue"/>
            <w:shd w:val="clear" w:color="auto" w:fill="auto"/>
            <w:vAlign w:val="center"/>
          </w:tcPr>
          <w:p>
            <w:pPr>
              <w:spacing w:line="540" w:lineRule="exact"/>
              <w:jc w:val="center"/>
              <w:rPr>
                <w:rFonts w:ascii="仿宋" w:hAnsi="仿宋" w:eastAsia="仿宋" w:cs="仿宋"/>
                <w:sz w:val="24"/>
              </w:rPr>
            </w:pPr>
          </w:p>
        </w:tc>
        <w:tc>
          <w:tcPr>
            <w:tcW w:w="560" w:type="dxa"/>
            <w:vMerge w:val="continue"/>
            <w:shd w:val="clear" w:color="auto" w:fill="auto"/>
            <w:vAlign w:val="center"/>
          </w:tcPr>
          <w:p>
            <w:pPr>
              <w:spacing w:line="540" w:lineRule="exact"/>
              <w:jc w:val="center"/>
              <w:rPr>
                <w:rFonts w:ascii="仿宋" w:hAnsi="仿宋" w:eastAsia="仿宋" w:cs="仿宋"/>
                <w:sz w:val="24"/>
              </w:rPr>
            </w:pPr>
          </w:p>
        </w:tc>
        <w:tc>
          <w:tcPr>
            <w:tcW w:w="840" w:type="dxa"/>
            <w:vMerge w:val="continue"/>
            <w:shd w:val="clear" w:color="auto" w:fill="auto"/>
            <w:vAlign w:val="center"/>
          </w:tcPr>
          <w:p>
            <w:pPr>
              <w:spacing w:line="540" w:lineRule="exact"/>
              <w:jc w:val="center"/>
              <w:rPr>
                <w:rFonts w:ascii="仿宋" w:hAnsi="仿宋" w:eastAsia="仿宋" w:cs="仿宋"/>
                <w:sz w:val="24"/>
              </w:rPr>
            </w:pPr>
          </w:p>
        </w:tc>
        <w:tc>
          <w:tcPr>
            <w:tcW w:w="39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结果维护</w:t>
            </w:r>
          </w:p>
        </w:tc>
        <w:tc>
          <w:tcPr>
            <w:tcW w:w="45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结果纠正</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其他结果</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尚未审结</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总计</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结果维护</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结果纠正</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其他结果</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尚未审结</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9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84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39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45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c>
          <w:tcPr>
            <w:tcW w:w="560" w:type="dxa"/>
            <w:shd w:val="clear" w:color="auto" w:fill="auto"/>
            <w:vAlign w:val="center"/>
          </w:tcPr>
          <w:p>
            <w:pPr>
              <w:spacing w:line="540" w:lineRule="exact"/>
              <w:jc w:val="center"/>
              <w:rPr>
                <w:rFonts w:ascii="仿宋" w:hAnsi="仿宋" w:eastAsia="仿宋" w:cs="仿宋"/>
                <w:sz w:val="24"/>
              </w:rPr>
            </w:pPr>
            <w:r>
              <w:rPr>
                <w:rFonts w:hint="eastAsia" w:ascii="仿宋" w:hAnsi="仿宋" w:eastAsia="仿宋" w:cs="仿宋"/>
                <w:sz w:val="24"/>
              </w:rPr>
              <w:t>0</w:t>
            </w:r>
          </w:p>
        </w:tc>
      </w:tr>
    </w:tbl>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黑体" w:hAnsi="黑体" w:eastAsia="黑体"/>
          <w:sz w:val="28"/>
          <w:szCs w:val="28"/>
        </w:rPr>
      </w:pPr>
      <w:r>
        <w:rPr>
          <w:rFonts w:hint="eastAsia" w:ascii="黑体" w:hAnsi="黑体" w:eastAsia="黑体"/>
          <w:sz w:val="28"/>
          <w:szCs w:val="28"/>
        </w:rPr>
        <w:t>五、存在的主要问题及改进情况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cs="宋体" w:asciiTheme="minorEastAsia" w:hAnsiTheme="minorEastAsia"/>
        </w:rPr>
      </w:pPr>
      <w:r>
        <w:rPr>
          <w:rFonts w:hint="eastAsia" w:asciiTheme="minorEastAsia" w:hAnsiTheme="minorEastAsia"/>
          <w:shd w:val="clear" w:color="auto" w:fill="FFFFFF"/>
        </w:rPr>
        <w:t>202</w:t>
      </w:r>
      <w:r>
        <w:rPr>
          <w:rFonts w:hint="eastAsia" w:asciiTheme="minorEastAsia" w:hAnsiTheme="minorEastAsia"/>
          <w:shd w:val="clear" w:color="auto" w:fill="FFFFFF"/>
          <w:lang w:val="en-US" w:eastAsia="zh-CN"/>
        </w:rPr>
        <w:t>1</w:t>
      </w:r>
      <w:r>
        <w:rPr>
          <w:rFonts w:hint="eastAsia" w:asciiTheme="minorEastAsia" w:hAnsiTheme="minorEastAsia"/>
          <w:shd w:val="clear" w:color="auto" w:fill="FFFFFF"/>
        </w:rPr>
        <w:t>年，政府信息公开工作虽取得一定成绩，但仍存在一些薄弱环节。</w:t>
      </w:r>
      <w:r>
        <w:rPr>
          <w:rFonts w:hint="eastAsia" w:cs="宋体" w:asciiTheme="minorEastAsia" w:hAnsiTheme="minorEastAsia"/>
        </w:rPr>
        <w:t>一是对信息公开的认识度不高。对信息报送的内容不够全面，报送信息质量不够高。二是公开信息的深度和广度不够。公开的信息大多为数据统计类，前期公开信息缺乏深层次的解读和直观的统计情况说明。三是部分信息报送不及时。部分信息未及时按照时间节点报送，错过最佳传播时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cs="宋体" w:asciiTheme="minorEastAsia" w:hAnsiTheme="minorEastAsia"/>
        </w:rPr>
      </w:pPr>
      <w:r>
        <w:rPr>
          <w:rFonts w:hint="eastAsia" w:cs="宋体" w:asciiTheme="minorEastAsia" w:hAnsiTheme="minorEastAsia"/>
        </w:rPr>
        <w:t>针对薄弱环节，领导班子迅速研讨，提出了整改措施。一是制定了信息报送方案，注重工作任务分解和责任落实，加强各部门沟通协调，充分调动各部门报送信息的积极性，提高信息报送质量。二是加大对统计数据的解读力度，对12345政府服务热线受理数据统计情况作深度解读，既利用图表直观体现办件量，又增加了案例详情和数据分析。三是完善信息公开发布机制，拓宽宣传渠道，加强信息撰稿人业务培训，完善信息公开发布机制，提高日常管理公开内容的及时性。</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560" w:firstLineChars="200"/>
        <w:jc w:val="both"/>
        <w:textAlignment w:val="auto"/>
        <w:rPr>
          <w:rFonts w:hint="eastAsia" w:ascii="黑体" w:hAnsi="黑体" w:eastAsia="黑体" w:cstheme="minorBidi"/>
          <w:kern w:val="2"/>
          <w:sz w:val="28"/>
          <w:szCs w:val="28"/>
          <w:lang w:val="en-US" w:eastAsia="zh-CN" w:bidi="ar-SA"/>
        </w:rPr>
      </w:pPr>
      <w:r>
        <w:rPr>
          <w:rFonts w:hint="eastAsia" w:ascii="黑体" w:hAnsi="黑体" w:eastAsia="黑体" w:cstheme="minorBidi"/>
          <w:kern w:val="2"/>
          <w:sz w:val="28"/>
          <w:szCs w:val="28"/>
          <w:lang w:val="en-US" w:eastAsia="zh-CN" w:bidi="ar-SA"/>
        </w:rPr>
        <w:t>六、其他需要报告的事项</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720" w:firstLineChars="300"/>
        <w:jc w:val="both"/>
        <w:textAlignment w:val="auto"/>
        <w:rPr>
          <w:rFonts w:cs="宋体" w:asciiTheme="minorEastAsia" w:hAnsiTheme="minorEastAsia"/>
          <w:shd w:val="clear" w:color="auto" w:fill="FFFFFF"/>
        </w:rPr>
      </w:pPr>
      <w:r>
        <w:rPr>
          <w:rFonts w:hint="eastAsia" w:cs="宋体" w:asciiTheme="minorEastAsia" w:hAnsiTheme="minorEastAsia"/>
          <w:shd w:val="clear" w:color="auto" w:fill="FFFFFF"/>
        </w:rPr>
        <w:t>无。</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cs="宋体" w:asciiTheme="minorEastAsia" w:hAnsiTheme="minorEastAsia"/>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cs="宋体" w:asciiTheme="minorEastAsia" w:hAnsiTheme="minorEastAsia"/>
          <w:shd w:val="clear" w:color="auto" w:fill="FFFFFF"/>
        </w:rPr>
      </w:pPr>
    </w:p>
    <w:p>
      <w:pPr>
        <w:keepNext w:val="0"/>
        <w:keepLines w:val="0"/>
        <w:pageBreakBefore w:val="0"/>
        <w:widowControl w:val="0"/>
        <w:kinsoku/>
        <w:wordWrap/>
        <w:overflowPunct/>
        <w:topLinePunct w:val="0"/>
        <w:autoSpaceDE/>
        <w:autoSpaceDN/>
        <w:bidi w:val="0"/>
        <w:adjustRightInd/>
        <w:snapToGrid/>
        <w:spacing w:line="400" w:lineRule="exact"/>
        <w:ind w:firstLine="6300" w:firstLineChars="3000"/>
        <w:textAlignment w:val="auto"/>
        <w:rPr>
          <w:rFonts w:hint="eastAsia" w:ascii="宋体" w:hAnsi="宋体" w:eastAsia="宋体" w:cs="宋体"/>
          <w:sz w:val="24"/>
          <w:szCs w:val="24"/>
        </w:rPr>
      </w:pPr>
      <w:r>
        <w:rPr>
          <w:rFonts w:cs="宋体" w:asciiTheme="minorEastAsia" w:hAnsiTheme="minorEastAsia"/>
          <w:shd w:val="clear" w:color="auto" w:fill="FFFFFF"/>
        </w:rPr>
        <w:t>202</w:t>
      </w:r>
      <w:r>
        <w:rPr>
          <w:rFonts w:hint="eastAsia" w:cs="宋体" w:asciiTheme="minorEastAsia" w:hAnsiTheme="minorEastAsia"/>
          <w:shd w:val="clear" w:color="auto" w:fill="FFFFFF"/>
          <w:lang w:val="en-US" w:eastAsia="zh-CN"/>
        </w:rPr>
        <w:t>2</w:t>
      </w:r>
      <w:r>
        <w:rPr>
          <w:rFonts w:hint="eastAsia" w:cs="宋体" w:asciiTheme="minorEastAsia" w:hAnsiTheme="minorEastAsia"/>
          <w:shd w:val="clear" w:color="auto" w:fill="FFFFFF"/>
        </w:rPr>
        <w:t>年1月</w:t>
      </w:r>
      <w:r>
        <w:rPr>
          <w:rFonts w:hint="eastAsia" w:cs="宋体" w:asciiTheme="minorEastAsia" w:hAnsiTheme="minorEastAsia"/>
          <w:shd w:val="clear" w:color="auto" w:fill="FFFFFF"/>
          <w:lang w:val="en-US" w:eastAsia="zh-CN"/>
        </w:rPr>
        <w:t>21</w:t>
      </w:r>
      <w:r>
        <w:rPr>
          <w:rFonts w:hint="eastAsia" w:cs="宋体" w:asciiTheme="minorEastAsia" w:hAnsiTheme="minorEastAsia"/>
          <w:shd w:val="clear" w:color="auto" w:fill="FFFFFF"/>
        </w:rPr>
        <w:t xml:space="preserve">日 </w:t>
      </w:r>
    </w:p>
    <w:p>
      <w:pPr>
        <w:spacing w:line="560" w:lineRule="exact"/>
        <w:ind w:firstLine="480" w:firstLineChars="200"/>
        <w:rPr>
          <w:rFonts w:asciiTheme="minorEastAsia" w:hAnsiTheme="minorEastAsia"/>
          <w:sz w:val="24"/>
        </w:rPr>
      </w:pPr>
    </w:p>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-190500</wp:posOffset>
              </wp:positionV>
              <wp:extent cx="912495" cy="336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2495" cy="336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pt;height:26.5pt;width:71.85pt;mso-position-horizontal:outside;mso-position-horizontal-relative:margin;z-index:251659264;mso-width-relative:page;mso-height-relative:page;" filled="f" stroked="f" coordsize="21600,21600" o:gfxdata="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kqJZa1gAAAAcBAAAPAAAAAAAAAAEAIAAAACIAAABkcnMvZG93bnJldi54&#10;bWxQSwECFAAUAAAACACHTuJAA12xjzUCAABhBAAADgAAAAAAAAABACAAAAAlAQAAZHJzL2Uyb0Rv&#10;Yy54bWxQSwUGAAAAAAYABgBZAQAAzAUAAAAA&#10;">
              <v:fill on="f" focussize="0,0"/>
              <v:stroke on="f" weight="0.5pt"/>
              <v:imagedata o:title=""/>
              <o:lock v:ext="edit" aspectratio="f"/>
              <v:textbox inset="0mm,0mm,0mm,0mm">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97458"/>
    <w:multiLevelType w:val="singleLevel"/>
    <w:tmpl w:val="BBF97458"/>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912DB"/>
    <w:rsid w:val="055C132D"/>
    <w:rsid w:val="083912DB"/>
    <w:rsid w:val="0D03365A"/>
    <w:rsid w:val="104355C3"/>
    <w:rsid w:val="17AE3BE6"/>
    <w:rsid w:val="1E5503B4"/>
    <w:rsid w:val="26E8614E"/>
    <w:rsid w:val="3E287919"/>
    <w:rsid w:val="43365F2E"/>
    <w:rsid w:val="4CB614C5"/>
    <w:rsid w:val="5A055CA0"/>
    <w:rsid w:val="5D8B037E"/>
    <w:rsid w:val="68BC5FDB"/>
    <w:rsid w:val="692625A2"/>
    <w:rsid w:val="6CBF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font03"/>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2022-01-19T00:53:00Z</dcterms:created>
  <dc:creator>赖丽梅</dc:creator>
  <cp:lastModifiedBy>赖丽梅</cp:lastModifiedBy>
  <cp:lastPrinted>2022-01-21T02:53:00Z</cp:lastPrinted>
  <dcterms:modified xsi:type="dcterms:W3CDTF">2022-01-21T08:46:07Z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03BF9693EDED4F5B8C07108F08AF012A</vt:lpwstr>
  </property>
</Properties>
</file>