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  <w:gridCol w:w="1817"/>
        <w:gridCol w:w="1524"/>
        <w:gridCol w:w="2978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    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          □听证代表人                  □听证旁听人</w:t>
            </w:r>
          </w:p>
        </w:tc>
      </w:tr>
      <w:tr w14:paraId="73B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1.本表仅供申请参加龙南市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eastAsia="zh-CN"/>
        </w:rPr>
        <w:t>程龙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镇国土空间总体规划（2021-2035年）听证会使用。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475B1"/>
    <w:rsid w:val="18DA6CCE"/>
    <w:rsid w:val="27DD2B2D"/>
    <w:rsid w:val="57F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233</Characters>
  <Lines>2</Lines>
  <Paragraphs>1</Paragraphs>
  <TotalTime>12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小鱼儿</cp:lastModifiedBy>
  <dcterms:modified xsi:type="dcterms:W3CDTF">2025-01-06T02:18:51Z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448D2108B9504BA6ABCB41443620504D_13</vt:lpwstr>
  </property>
  <property fmtid="{D5CDD505-2E9C-101B-9397-08002B2CF9AE}" pid="4" name="KSOTemplateDocerSaveRecord">
    <vt:lpwstr>eyJoZGlkIjoiZmUzMzI5MmJlNWRkMmY1YWQ4MTczY2E1NjRiNmM0ZjIiLCJ1c2VySWQiOiI0NTcwMDY0MTQifQ==</vt:lpwstr>
  </property>
</Properties>
</file>