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F65AF">
      <w:pPr>
        <w:pStyle w:val="3"/>
        <w:rPr>
          <w:color w:val="000000" w:themeColor="text1"/>
          <w14:textFill>
            <w14:solidFill>
              <w14:schemeClr w14:val="tx1"/>
            </w14:solidFill>
          </w14:textFill>
        </w:rPr>
      </w:pPr>
    </w:p>
    <w:p w14:paraId="36B2DE7E">
      <w:pPr>
        <w:topLinePunct/>
        <w:spacing w:line="560" w:lineRule="exact"/>
        <w:jc w:val="center"/>
        <w:rPr>
          <w:rFonts w:ascii="宋体" w:hAnsi="宋体" w:eastAsia="方正小标宋简体" w:cs="方正小标宋简体"/>
          <w:color w:val="000000" w:themeColor="text1"/>
          <w:sz w:val="44"/>
          <w:szCs w:val="44"/>
          <w14:textFill>
            <w14:solidFill>
              <w14:schemeClr w14:val="tx1"/>
            </w14:solidFill>
          </w14:textFill>
        </w:rPr>
      </w:pPr>
    </w:p>
    <w:p w14:paraId="02CD2D3C">
      <w:pPr>
        <w:keepNext w:val="0"/>
        <w:keepLines w:val="0"/>
        <w:pageBreakBefore w:val="0"/>
        <w:widowControl w:val="0"/>
        <w:kinsoku/>
        <w:wordWrap/>
        <w:overflowPunct/>
        <w:topLinePunct/>
        <w:autoSpaceDE/>
        <w:autoSpaceDN/>
        <w:bidi w:val="0"/>
        <w:adjustRightInd/>
        <w:snapToGrid/>
        <w:spacing w:line="500" w:lineRule="exact"/>
        <w:jc w:val="both"/>
        <w:textAlignment w:val="auto"/>
        <w:rPr>
          <w:rFonts w:ascii="宋体" w:hAnsi="宋体" w:eastAsia="方正小标宋简体" w:cs="方正小标宋简体"/>
          <w:color w:val="000000" w:themeColor="text1"/>
          <w:sz w:val="44"/>
          <w:szCs w:val="44"/>
          <w14:textFill>
            <w14:solidFill>
              <w14:schemeClr w14:val="tx1"/>
            </w14:solidFill>
          </w14:textFill>
        </w:rPr>
      </w:pPr>
    </w:p>
    <w:p w14:paraId="1734C836">
      <w:pPr>
        <w:keepNext w:val="0"/>
        <w:keepLines w:val="0"/>
        <w:pageBreakBefore w:val="0"/>
        <w:widowControl w:val="0"/>
        <w:kinsoku/>
        <w:wordWrap/>
        <w:overflowPunct/>
        <w:topLinePunct/>
        <w:autoSpaceDE/>
        <w:autoSpaceDN/>
        <w:bidi w:val="0"/>
        <w:adjustRightInd/>
        <w:snapToGrid/>
        <w:spacing w:line="500" w:lineRule="exact"/>
        <w:jc w:val="both"/>
        <w:textAlignment w:val="auto"/>
        <w:rPr>
          <w:rFonts w:ascii="宋体" w:hAnsi="宋体" w:eastAsia="方正小标宋简体" w:cs="方正小标宋简体"/>
          <w:color w:val="000000" w:themeColor="text1"/>
          <w:sz w:val="44"/>
          <w:szCs w:val="44"/>
          <w14:textFill>
            <w14:solidFill>
              <w14:schemeClr w14:val="tx1"/>
            </w14:solidFill>
          </w14:textFill>
        </w:rPr>
      </w:pPr>
    </w:p>
    <w:p w14:paraId="0F27C9FD">
      <w:pPr>
        <w:keepNext w:val="0"/>
        <w:keepLines w:val="0"/>
        <w:pageBreakBefore w:val="0"/>
        <w:widowControl w:val="0"/>
        <w:kinsoku/>
        <w:wordWrap/>
        <w:overflowPunct/>
        <w:topLinePunct/>
        <w:autoSpaceDE/>
        <w:autoSpaceDN/>
        <w:bidi w:val="0"/>
        <w:adjustRightInd/>
        <w:snapToGrid/>
        <w:spacing w:line="500" w:lineRule="exact"/>
        <w:jc w:val="both"/>
        <w:textAlignment w:val="auto"/>
        <w:rPr>
          <w:rFonts w:ascii="宋体" w:hAnsi="宋体" w:eastAsia="方正小标宋简体" w:cs="方正小标宋简体"/>
          <w:color w:val="000000" w:themeColor="text1"/>
          <w:sz w:val="44"/>
          <w:szCs w:val="44"/>
          <w14:textFill>
            <w14:solidFill>
              <w14:schemeClr w14:val="tx1"/>
            </w14:solidFill>
          </w14:textFill>
        </w:rPr>
      </w:pPr>
    </w:p>
    <w:p w14:paraId="7380F000">
      <w:pPr>
        <w:pStyle w:val="2"/>
        <w:ind w:left="0" w:leftChars="0" w:firstLine="0" w:firstLineChars="0"/>
        <w:rPr>
          <w:rFonts w:hint="eastAsia"/>
          <w:color w:val="000000" w:themeColor="text1"/>
          <w14:textFill>
            <w14:solidFill>
              <w14:schemeClr w14:val="tx1"/>
            </w14:solidFill>
          </w14:textFill>
        </w:rPr>
      </w:pPr>
    </w:p>
    <w:p w14:paraId="32C977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龙</w:t>
      </w:r>
      <w:r>
        <w:rPr>
          <w:rFonts w:hint="eastAsia" w:ascii="仿宋_GB2312" w:hAnsi="仿宋_GB2312" w:eastAsia="仿宋_GB2312" w:cs="仿宋_GB2312"/>
          <w:color w:val="000000" w:themeColor="text1"/>
          <w:sz w:val="32"/>
          <w:szCs w:val="32"/>
          <w:lang w:eastAsia="zh-CN"/>
          <w14:textFill>
            <w14:solidFill>
              <w14:schemeClr w14:val="tx1"/>
            </w14:solidFill>
          </w14:textFill>
        </w:rPr>
        <w:t>行</w:t>
      </w:r>
      <w:r>
        <w:rPr>
          <w:rFonts w:hint="eastAsia" w:ascii="仿宋_GB2312" w:hAnsi="仿宋_GB2312" w:eastAsia="仿宋_GB2312" w:cs="仿宋_GB2312"/>
          <w:color w:val="000000" w:themeColor="text1"/>
          <w:sz w:val="32"/>
          <w:szCs w:val="32"/>
          <w14:textFill>
            <w14:solidFill>
              <w14:schemeClr w14:val="tx1"/>
            </w14:solidFill>
          </w14:textFill>
        </w:rPr>
        <w:t>字〔</w:t>
      </w:r>
      <w:r>
        <w:rPr>
          <w:rFonts w:hint="eastAsia" w:ascii="宋体" w:hAnsi="宋体" w:eastAsia="宋体" w:cs="宋体"/>
          <w:color w:val="000000" w:themeColor="text1"/>
          <w:sz w:val="32"/>
          <w:szCs w:val="32"/>
          <w14:textFill>
            <w14:solidFill>
              <w14:schemeClr w14:val="tx1"/>
            </w14:solidFill>
          </w14:textFill>
        </w:rPr>
        <w:t>202</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号</w:t>
      </w:r>
    </w:p>
    <w:p w14:paraId="7089613F">
      <w:pPr>
        <w:keepNext w:val="0"/>
        <w:keepLines w:val="0"/>
        <w:pageBreakBefore w:val="0"/>
        <w:widowControl w:val="0"/>
        <w:kinsoku/>
        <w:wordWrap/>
        <w:overflowPunct/>
        <w:topLinePunct/>
        <w:autoSpaceDE/>
        <w:autoSpaceDN/>
        <w:bidi w:val="0"/>
        <w:adjustRightInd/>
        <w:snapToGrid/>
        <w:spacing w:line="500" w:lineRule="exact"/>
        <w:jc w:val="both"/>
        <w:textAlignment w:val="auto"/>
        <w:rPr>
          <w:rFonts w:ascii="宋体" w:hAnsi="宋体" w:eastAsia="方正小标宋简体" w:cs="方正小标宋简体"/>
          <w:color w:val="000000" w:themeColor="text1"/>
          <w:sz w:val="44"/>
          <w:szCs w:val="44"/>
          <w14:textFill>
            <w14:solidFill>
              <w14:schemeClr w14:val="tx1"/>
            </w14:solidFill>
          </w14:textFill>
        </w:rPr>
      </w:pPr>
    </w:p>
    <w:p w14:paraId="7ECFF6E7">
      <w:pPr>
        <w:pStyle w:val="2"/>
        <w:keepNext w:val="0"/>
        <w:keepLines w:val="0"/>
        <w:pageBreakBefore w:val="0"/>
        <w:widowControl w:val="0"/>
        <w:kinsoku/>
        <w:wordWrap/>
        <w:overflowPunct/>
        <w:autoSpaceDE/>
        <w:autoSpaceDN/>
        <w:bidi w:val="0"/>
        <w:adjustRightInd/>
        <w:snapToGrid/>
        <w:spacing w:line="500" w:lineRule="exact"/>
        <w:textAlignment w:val="auto"/>
        <w:rPr>
          <w:color w:val="000000" w:themeColor="text1"/>
          <w14:textFill>
            <w14:solidFill>
              <w14:schemeClr w14:val="tx1"/>
            </w14:solidFill>
          </w14:textFill>
        </w:rPr>
      </w:pPr>
    </w:p>
    <w:p w14:paraId="1D1EB5F0">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default" w:ascii="宋体" w:hAnsi="宋体" w:eastAsia="方正小标宋简体" w:cs="方正小标宋简体"/>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color w:val="000000" w:themeColor="text1"/>
          <w:sz w:val="44"/>
          <w:szCs w:val="44"/>
          <w:lang w:val="en-US" w:eastAsia="zh-CN"/>
          <w14:textFill>
            <w14:solidFill>
              <w14:schemeClr w14:val="tx1"/>
            </w14:solidFill>
          </w14:textFill>
        </w:rPr>
        <w:t>龙南市行政审批局</w:t>
      </w:r>
    </w:p>
    <w:p w14:paraId="34E11E0F">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关于</w:t>
      </w:r>
      <w:r>
        <w:rPr>
          <w:rFonts w:hint="eastAsia" w:ascii="宋体" w:hAnsi="宋体" w:eastAsia="方正小标宋简体" w:cs="方正小标宋简体"/>
          <w:color w:val="000000" w:themeColor="text1"/>
          <w:sz w:val="44"/>
          <w:szCs w:val="44"/>
          <w:lang w:val="en-US" w:eastAsia="zh-CN"/>
          <w14:textFill>
            <w14:solidFill>
              <w14:schemeClr w14:val="tx1"/>
            </w14:solidFill>
          </w14:textFill>
        </w:rPr>
        <w:t>印发《</w:t>
      </w:r>
      <w:r>
        <w:rPr>
          <w:rFonts w:hint="eastAsia" w:ascii="宋体" w:hAnsi="宋体" w:eastAsia="方正小标宋简体" w:cs="方正小标宋简体"/>
          <w:color w:val="000000" w:themeColor="text1"/>
          <w:sz w:val="44"/>
          <w:szCs w:val="44"/>
          <w14:textFill>
            <w14:solidFill>
              <w14:schemeClr w14:val="tx1"/>
            </w14:solidFill>
          </w14:textFill>
        </w:rPr>
        <w:t>赣州市公共资源交易中心龙南分中心代理机构场内负面行为管理办法</w:t>
      </w:r>
    </w:p>
    <w:p w14:paraId="3832A86B">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宋体" w:hAnsi="宋体" w:eastAsia="方正小标宋简体" w:cs="方正小标宋简体"/>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color w:val="000000" w:themeColor="text1"/>
          <w:sz w:val="44"/>
          <w:szCs w:val="44"/>
          <w:lang w:eastAsia="zh-CN"/>
          <w14:textFill>
            <w14:solidFill>
              <w14:schemeClr w14:val="tx1"/>
            </w14:solidFill>
          </w14:textFill>
        </w:rPr>
        <w:t>（</w:t>
      </w:r>
      <w:r>
        <w:rPr>
          <w:rFonts w:hint="eastAsia" w:ascii="宋体" w:hAnsi="宋体" w:eastAsia="方正小标宋简体" w:cs="方正小标宋简体"/>
          <w:color w:val="000000" w:themeColor="text1"/>
          <w:sz w:val="44"/>
          <w:szCs w:val="44"/>
          <w:lang w:val="en-US" w:eastAsia="zh-CN"/>
          <w14:textFill>
            <w14:solidFill>
              <w14:schemeClr w14:val="tx1"/>
            </w14:solidFill>
          </w14:textFill>
        </w:rPr>
        <w:t>试行</w:t>
      </w:r>
      <w:r>
        <w:rPr>
          <w:rFonts w:hint="eastAsia" w:ascii="宋体" w:hAnsi="宋体" w:eastAsia="方正小标宋简体" w:cs="方正小标宋简体"/>
          <w:color w:val="000000" w:themeColor="text1"/>
          <w:sz w:val="44"/>
          <w:szCs w:val="44"/>
          <w:lang w:eastAsia="zh-CN"/>
          <w14:textFill>
            <w14:solidFill>
              <w14:schemeClr w14:val="tx1"/>
            </w14:solidFill>
          </w14:textFill>
        </w:rPr>
        <w:t>）》</w:t>
      </w:r>
      <w:r>
        <w:rPr>
          <w:rFonts w:hint="eastAsia" w:ascii="宋体" w:hAnsi="宋体" w:eastAsia="方正小标宋简体" w:cs="方正小标宋简体"/>
          <w:color w:val="000000" w:themeColor="text1"/>
          <w:sz w:val="44"/>
          <w:szCs w:val="44"/>
          <w14:textFill>
            <w14:solidFill>
              <w14:schemeClr w14:val="tx1"/>
            </w14:solidFill>
          </w14:textFill>
        </w:rPr>
        <w:t>的</w:t>
      </w:r>
      <w:r>
        <w:rPr>
          <w:rFonts w:hint="eastAsia" w:ascii="宋体" w:hAnsi="宋体" w:eastAsia="方正小标宋简体" w:cs="方正小标宋简体"/>
          <w:color w:val="000000" w:themeColor="text1"/>
          <w:sz w:val="44"/>
          <w:szCs w:val="44"/>
          <w:lang w:val="en-US" w:eastAsia="zh-CN"/>
          <w14:textFill>
            <w14:solidFill>
              <w14:schemeClr w14:val="tx1"/>
            </w14:solidFill>
          </w14:textFill>
        </w:rPr>
        <w:t>通知</w:t>
      </w:r>
    </w:p>
    <w:p w14:paraId="0E39157A">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方正小标宋简体" w:cs="方正小标宋简体"/>
          <w:color w:val="000000" w:themeColor="text1"/>
          <w:sz w:val="44"/>
          <w:szCs w:val="44"/>
          <w14:textFill>
            <w14:solidFill>
              <w14:schemeClr w14:val="tx1"/>
            </w14:solidFill>
          </w14:textFill>
        </w:rPr>
      </w:pPr>
      <w:bookmarkStart w:id="0" w:name="_GoBack"/>
      <w:bookmarkEnd w:id="0"/>
    </w:p>
    <w:p w14:paraId="568BD756">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各社会代理机构</w:t>
      </w:r>
      <w:r>
        <w:rPr>
          <w:rFonts w:hint="eastAsia" w:ascii="仿宋_GB2312" w:hAnsi="仿宋_GB2312" w:eastAsia="仿宋_GB2312" w:cs="仿宋_GB2312"/>
          <w:color w:val="000000" w:themeColor="text1"/>
          <w:sz w:val="32"/>
          <w:szCs w:val="32"/>
          <w14:textFill>
            <w14:solidFill>
              <w14:schemeClr w14:val="tx1"/>
            </w14:solidFill>
          </w14:textFill>
        </w:rPr>
        <w:t>：</w:t>
      </w:r>
    </w:p>
    <w:p w14:paraId="31013FB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为进一步加强代理机构及从业人员行为管理，保障各类交易活动依法、高效、有序开展，根据《中华人民共和国招标投标法》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《中华人民共和国招标投标法实施条例》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《中华人民共和国政府采购法》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《中华人民共和国政府采购法实施条例》等相关法律法规和文件规定，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结合我市实际，制定了</w:t>
      </w:r>
      <w:r>
        <w:rPr>
          <w:rFonts w:hint="eastAsia" w:ascii="仿宋_GB2312" w:hAnsi="仿宋_GB2312" w:eastAsia="仿宋_GB2312" w:cs="仿宋_GB2312"/>
          <w:color w:val="000000" w:themeColor="text1"/>
          <w:sz w:val="32"/>
          <w:szCs w:val="32"/>
          <w14:textFill>
            <w14:solidFill>
              <w14:schemeClr w14:val="tx1"/>
            </w14:solidFill>
          </w14:textFill>
        </w:rPr>
        <w:t>《赣州市公共资源交易中心龙南分中心代理机构场内负面行为管理办法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试行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印发给你们，请认真贯彻执行。</w:t>
      </w:r>
    </w:p>
    <w:p w14:paraId="55408367">
      <w:pPr>
        <w:keepNext w:val="0"/>
        <w:keepLines w:val="0"/>
        <w:pageBreakBefore w:val="0"/>
        <w:widowControl w:val="0"/>
        <w:kinsoku/>
        <w:wordWrap/>
        <w:overflowPunct/>
        <w:topLinePunct w:val="0"/>
        <w:autoSpaceDE/>
        <w:autoSpaceDN/>
        <w:bidi w:val="0"/>
        <w:adjustRightInd/>
        <w:snapToGrid/>
        <w:spacing w:line="460" w:lineRule="exact"/>
        <w:ind w:left="1916" w:leftChars="76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3610FF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C00069E">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FC1BB42">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p>
    <w:p w14:paraId="32CB7A14">
      <w:pPr>
        <w:pStyle w:val="6"/>
        <w:widowControl/>
        <w:shd w:val="clear" w:color="auto" w:fill="FFFFFF"/>
        <w:spacing w:beforeAutospacing="0" w:afterAutospacing="0" w:line="560" w:lineRule="exact"/>
        <w:jc w:val="center"/>
        <w:rPr>
          <w:rStyle w:val="10"/>
          <w:rFonts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pPr>
      <w:r>
        <w:rPr>
          <w:rStyle w:val="10"/>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赣州市公共资源交易中心龙南分中心代理机构场内负面行为管理办法（</w:t>
      </w:r>
      <w:r>
        <w:rPr>
          <w:rStyle w:val="10"/>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试行</w:t>
      </w:r>
      <w:r>
        <w:rPr>
          <w:rStyle w:val="10"/>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w:t>
      </w:r>
    </w:p>
    <w:p w14:paraId="2AED33B6">
      <w:pPr>
        <w:pStyle w:val="6"/>
        <w:widowControl/>
        <w:shd w:val="clear" w:color="auto" w:fill="FFFFFF"/>
        <w:spacing w:beforeAutospacing="0" w:afterAutospacing="0" w:line="510" w:lineRule="atLeast"/>
        <w:ind w:firstLine="420"/>
        <w:jc w:val="both"/>
        <w:rPr>
          <w:rFonts w:ascii="SourceHanSansCN-Regular" w:hAnsi="SourceHanSansCN-Regular" w:eastAsia="SourceHanSansCN-Regular" w:cs="SourceHanSansCN-Regular"/>
          <w:color w:val="000000" w:themeColor="text1"/>
          <w:sz w:val="21"/>
          <w:szCs w:val="21"/>
          <w14:textFill>
            <w14:solidFill>
              <w14:schemeClr w14:val="tx1"/>
            </w14:solidFill>
          </w14:textFill>
        </w:rPr>
      </w:pPr>
      <w:r>
        <w:rPr>
          <w:rFonts w:ascii="SourceHanSansCN-Regular" w:hAnsi="SourceHanSansCN-Regular" w:eastAsia="SourceHanSansCN-Regular" w:cs="SourceHanSansCN-Regular"/>
          <w:color w:val="000000" w:themeColor="text1"/>
          <w:sz w:val="21"/>
          <w:szCs w:val="21"/>
          <w:shd w:val="clear" w:color="auto" w:fill="FFFFFF"/>
          <w14:textFill>
            <w14:solidFill>
              <w14:schemeClr w14:val="tx1"/>
            </w14:solidFill>
          </w14:textFill>
        </w:rPr>
        <w:t> </w:t>
      </w:r>
    </w:p>
    <w:p w14:paraId="3A149D0F">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第一条 为进一步加强代理机构及从业人员行为管理，保障各类交易活动依法、高效、有序开展，根据《中华人民共和国招标投标法》《中华人民共和国招标投标法实施条例》《中华人民共和国政府采购法》《中华人民共和国政府采购法实施条例》等相关法律法规和文件规定，结合《江西省公共资源交易中介代理机构场内行为规范及评价运用规定（暂行）》及赣州市公共资源交易中心龙南分中心（以下简称交易中心龙南分中心）工作实际，制定本办法。</w:t>
      </w:r>
    </w:p>
    <w:p w14:paraId="11318BE2">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第二条 本办法适用于代理机构及从业人员在交易中心龙南分中心从事代理服务活动中违反有关法律法规、规章制度及现场管理规范行为的管理。</w:t>
      </w:r>
    </w:p>
    <w:p w14:paraId="55220D59">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第三条 首次在交易中心龙南分中心从事代理服务活动的代理机构，应提交企业营业执照副本扫描件（加盖公章），进行登记并签订《代理机构场内行为承诺书》（附件</w:t>
      </w:r>
      <w:r>
        <w:rPr>
          <w:rFonts w:hint="eastAsia" w:ascii="宋体" w:hAnsi="宋体" w:eastAsia="宋体" w:cs="宋体"/>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1D960D72">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第四条 代理机构应在项目开标前向交易中心龙南分中心提交服务该项目的从业人员的介绍信（加盖公章）（附件</w:t>
      </w:r>
      <w:r>
        <w:rPr>
          <w:rFonts w:hint="eastAsia" w:ascii="宋体" w:hAnsi="宋体" w:eastAsia="宋体" w:cs="宋体"/>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4399BFD8">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第五条 交易中心龙南分中心对代理机构负面行为采用量化分值进行记录管理（附件</w:t>
      </w:r>
      <w:r>
        <w:rPr>
          <w:rFonts w:hint="eastAsia" w:ascii="宋体" w:hAnsi="宋体" w:eastAsia="宋体" w:cs="宋体"/>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进行季度和年度通报，以自然年度为一周期累计汇总，期满清零，但暂停进场交易期限不受影响，代理机构负面行为季度和年度记录情况将在交易中心龙南分中心场内、龙南市人民政府网（http://www.jxln.gov.cn/）予以公示，并</w:t>
      </w:r>
      <w:r>
        <w:rPr>
          <w:rFonts w:hint="eastAsia" w:ascii="仿宋_GB2312" w:hAnsi="仿宋_GB2312" w:eastAsia="仿宋_GB2312" w:cs="仿宋_GB2312"/>
          <w:color w:val="000000" w:themeColor="text1"/>
          <w:sz w:val="32"/>
          <w:szCs w:val="32"/>
          <w14:textFill>
            <w14:solidFill>
              <w14:schemeClr w14:val="tx1"/>
            </w14:solidFill>
          </w14:textFill>
        </w:rPr>
        <w:t>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送至</w:t>
      </w:r>
      <w:r>
        <w:rPr>
          <w:rFonts w:hint="eastAsia" w:ascii="仿宋_GB2312" w:hAnsi="仿宋_GB2312" w:eastAsia="仿宋_GB2312" w:cs="仿宋_GB2312"/>
          <w:color w:val="000000" w:themeColor="text1"/>
          <w:sz w:val="32"/>
          <w:szCs w:val="32"/>
          <w14:textFill>
            <w14:solidFill>
              <w14:schemeClr w14:val="tx1"/>
            </w14:solidFill>
          </w14:textFill>
        </w:rPr>
        <w:t>各公共资源交易行政监督管理部门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0E535115">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第六条 交易中心龙南分中心负责代理机构负面行为的记录、核实，并书面通知代理机构。代理机构对通知内容有异议的，应在收到通知之日起</w:t>
      </w:r>
      <w:r>
        <w:rPr>
          <w:rFonts w:hint="eastAsia" w:ascii="宋体" w:hAnsi="宋体" w:eastAsia="宋体" w:cs="宋体"/>
          <w:color w:val="000000" w:themeColor="text1"/>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个工作日内书面提出，经交易中心龙南分中心查实属于记分不当的，予以修正。</w:t>
      </w:r>
    </w:p>
    <w:p w14:paraId="2FEA3301">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第七条 交易中心龙南分中心按扣分情况对代理机构进行动态管理，每个周期内：</w:t>
      </w:r>
    </w:p>
    <w:p w14:paraId="735C5080">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（一）累计扣分达到</w:t>
      </w:r>
      <w:r>
        <w:rPr>
          <w:rFonts w:hint="eastAsia" w:ascii="宋体" w:hAnsi="宋体" w:eastAsia="宋体" w:cs="宋体"/>
          <w:color w:val="000000" w:themeColor="text1"/>
          <w:sz w:val="32"/>
          <w:szCs w:val="32"/>
          <w:shd w:val="clear" w:color="auto" w:fill="FFFFFF"/>
          <w14:textFill>
            <w14:solidFill>
              <w14:schemeClr w14:val="tx1"/>
            </w14:solidFill>
          </w14:textFill>
        </w:rPr>
        <w:t>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分的，采取约谈提醒方式督促规范进场交易行为；</w:t>
      </w:r>
    </w:p>
    <w:p w14:paraId="00A5747E">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（二）累计扣分达到</w:t>
      </w:r>
      <w:r>
        <w:rPr>
          <w:rFonts w:hint="eastAsia" w:ascii="宋体" w:hAnsi="宋体" w:eastAsia="宋体" w:cs="宋体"/>
          <w:color w:val="000000" w:themeColor="text1"/>
          <w:sz w:val="32"/>
          <w:szCs w:val="32"/>
          <w:shd w:val="clear" w:color="auto" w:fill="FFFFFF"/>
          <w14:textFill>
            <w14:solidFill>
              <w14:schemeClr w14:val="tx1"/>
            </w14:solidFill>
          </w14:textFill>
        </w:rPr>
        <w:t>30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分的，暂停三个月进场开展代理服务活动；</w:t>
      </w:r>
    </w:p>
    <w:p w14:paraId="37796BC3">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（三）累计扣分达到</w:t>
      </w:r>
      <w:r>
        <w:rPr>
          <w:rFonts w:hint="eastAsia" w:ascii="宋体" w:hAnsi="宋体" w:eastAsia="宋体" w:cs="宋体"/>
          <w:color w:val="000000" w:themeColor="text1"/>
          <w:sz w:val="32"/>
          <w:szCs w:val="32"/>
          <w:shd w:val="clear" w:color="auto" w:fill="FFFFFF"/>
          <w14:textFill>
            <w14:solidFill>
              <w14:schemeClr w14:val="tx1"/>
            </w14:solidFill>
          </w14:textFill>
        </w:rPr>
        <w:t>50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分的，暂停六个月进场开展代理服务活动。</w:t>
      </w:r>
    </w:p>
    <w:p w14:paraId="3D2ADAC8">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第八条 代理机构或从业人员有下列情形之一的，交易中心龙南分中心及时报送相关行政监督部门，在行政监督部门作出处理决定前暂停进场开展代理服务活动，行政监督部门依法作出处理决定的，按决定配合执行。</w:t>
      </w:r>
    </w:p>
    <w:p w14:paraId="4CAFB82A">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（一）伪造、变造进场交易材料的；</w:t>
      </w:r>
    </w:p>
    <w:p w14:paraId="23AEB58E">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（二）贿赂或采取不正当方式接触评标（评审）专家的；</w:t>
      </w:r>
    </w:p>
    <w:p w14:paraId="1BEA791B">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（三）与招标（采购）人、投标人（供应商）、评标（评审）专家或其他利害关系人串通损害国家利益、社会公共利益或他人合法权益的；</w:t>
      </w:r>
    </w:p>
    <w:p w14:paraId="248F4893">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（四）其他违反法律法规及有关规定行为的。</w:t>
      </w:r>
    </w:p>
    <w:p w14:paraId="3ED81CFC">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第九条 法律法规另有规定的，从其规定。</w:t>
      </w:r>
    </w:p>
    <w:p w14:paraId="42254103">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第十条 本办法自</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印发之日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起实施，</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试行期一年，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由交易中心龙南分中心负责解释。</w:t>
      </w:r>
    </w:p>
    <w:p w14:paraId="76CFC31E">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AD4366E">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附件：</w:t>
      </w:r>
      <w:r>
        <w:rPr>
          <w:rFonts w:hint="eastAsia" w:ascii="宋体" w:hAnsi="宋体" w:eastAsia="宋体" w:cs="宋体"/>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.代理机构场内行为承诺书</w:t>
      </w:r>
    </w:p>
    <w:p w14:paraId="1988CA08">
      <w:pPr>
        <w:pStyle w:val="6"/>
        <w:widowControl/>
        <w:shd w:val="clear" w:color="auto" w:fill="FFFFFF"/>
        <w:spacing w:beforeAutospacing="0" w:afterAutospacing="0" w:line="560" w:lineRule="exact"/>
        <w:ind w:left="1916" w:leftChars="760" w:hanging="320" w:hangingChars="1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.赣州市公共资源交易中心龙南分中心代理机构“负面行为清单”</w:t>
      </w:r>
    </w:p>
    <w:p w14:paraId="755B22CE">
      <w:pPr>
        <w:pStyle w:val="6"/>
        <w:widowControl/>
        <w:shd w:val="clear" w:color="auto" w:fill="FFFFFF"/>
        <w:spacing w:beforeAutospacing="0" w:afterAutospacing="0" w:line="560" w:lineRule="exact"/>
        <w:ind w:firstLine="1600" w:firstLineChars="5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.介绍信（模版）</w:t>
      </w:r>
    </w:p>
    <w:p w14:paraId="13329031">
      <w:pPr>
        <w:pStyle w:val="6"/>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65B6638">
      <w:pPr>
        <w:rPr>
          <w:color w:val="000000" w:themeColor="text1"/>
          <w14:textFill>
            <w14:solidFill>
              <w14:schemeClr w14:val="tx1"/>
            </w14:solidFill>
          </w14:textFill>
        </w:rPr>
      </w:pPr>
    </w:p>
    <w:p w14:paraId="7F973D83">
      <w:pPr>
        <w:pStyle w:val="3"/>
        <w:rPr>
          <w:color w:val="000000" w:themeColor="text1"/>
          <w14:textFill>
            <w14:solidFill>
              <w14:schemeClr w14:val="tx1"/>
            </w14:solidFill>
          </w14:textFill>
        </w:rPr>
      </w:pPr>
    </w:p>
    <w:p w14:paraId="422A6C26">
      <w:pPr>
        <w:rPr>
          <w:color w:val="000000" w:themeColor="text1"/>
          <w14:textFill>
            <w14:solidFill>
              <w14:schemeClr w14:val="tx1"/>
            </w14:solidFill>
          </w14:textFill>
        </w:rPr>
      </w:pPr>
    </w:p>
    <w:p w14:paraId="5F8893C8">
      <w:pPr>
        <w:rPr>
          <w:color w:val="000000" w:themeColor="text1"/>
          <w14:textFill>
            <w14:solidFill>
              <w14:schemeClr w14:val="tx1"/>
            </w14:solidFill>
          </w14:textFill>
        </w:rPr>
      </w:pPr>
    </w:p>
    <w:p w14:paraId="7CDBD49F">
      <w:pPr>
        <w:rPr>
          <w:color w:val="000000" w:themeColor="text1"/>
          <w14:textFill>
            <w14:solidFill>
              <w14:schemeClr w14:val="tx1"/>
            </w14:solidFill>
          </w14:textFill>
        </w:rPr>
      </w:pPr>
    </w:p>
    <w:p w14:paraId="3CE1B2AB">
      <w:pPr>
        <w:rPr>
          <w:color w:val="000000" w:themeColor="text1"/>
          <w14:textFill>
            <w14:solidFill>
              <w14:schemeClr w14:val="tx1"/>
            </w14:solidFill>
          </w14:textFill>
        </w:rPr>
      </w:pPr>
    </w:p>
    <w:p w14:paraId="19E20810">
      <w:pPr>
        <w:rPr>
          <w:color w:val="000000" w:themeColor="text1"/>
          <w14:textFill>
            <w14:solidFill>
              <w14:schemeClr w14:val="tx1"/>
            </w14:solidFill>
          </w14:textFill>
        </w:rPr>
      </w:pPr>
    </w:p>
    <w:p w14:paraId="684D7CCD">
      <w:pPr>
        <w:rPr>
          <w:color w:val="000000" w:themeColor="text1"/>
          <w14:textFill>
            <w14:solidFill>
              <w14:schemeClr w14:val="tx1"/>
            </w14:solidFill>
          </w14:textFill>
        </w:rPr>
      </w:pPr>
    </w:p>
    <w:p w14:paraId="4C06153E">
      <w:pPr>
        <w:rPr>
          <w:color w:val="000000" w:themeColor="text1"/>
          <w14:textFill>
            <w14:solidFill>
              <w14:schemeClr w14:val="tx1"/>
            </w14:solidFill>
          </w14:textFill>
        </w:rPr>
      </w:pPr>
    </w:p>
    <w:p w14:paraId="4C67820C">
      <w:pPr>
        <w:rPr>
          <w:color w:val="000000" w:themeColor="text1"/>
          <w14:textFill>
            <w14:solidFill>
              <w14:schemeClr w14:val="tx1"/>
            </w14:solidFill>
          </w14:textFill>
        </w:rPr>
      </w:pPr>
    </w:p>
    <w:p w14:paraId="64235726">
      <w:pPr>
        <w:rPr>
          <w:color w:val="000000" w:themeColor="text1"/>
          <w14:textFill>
            <w14:solidFill>
              <w14:schemeClr w14:val="tx1"/>
            </w14:solidFill>
          </w14:textFill>
        </w:rPr>
      </w:pPr>
    </w:p>
    <w:p w14:paraId="7DC68753">
      <w:pPr>
        <w:pStyle w:val="2"/>
        <w:rPr>
          <w:rFonts w:hint="eastAsia"/>
          <w:color w:val="000000" w:themeColor="text1"/>
          <w14:textFill>
            <w14:solidFill>
              <w14:schemeClr w14:val="tx1"/>
            </w14:solidFill>
          </w14:textFill>
        </w:rPr>
      </w:pPr>
    </w:p>
    <w:p w14:paraId="4A0D969E">
      <w:pPr>
        <w:rPr>
          <w:rFonts w:hint="eastAsia" w:ascii="黑体" w:hAnsi="黑体" w:eastAsia="黑体" w:cs="黑体"/>
          <w:color w:val="000000" w:themeColor="text1"/>
          <w:sz w:val="32"/>
          <w:szCs w:val="32"/>
          <w14:textFill>
            <w14:solidFill>
              <w14:schemeClr w14:val="tx1"/>
            </w14:solidFill>
          </w14:textFill>
        </w:rPr>
      </w:pPr>
    </w:p>
    <w:p w14:paraId="22858025">
      <w:pPr>
        <w:rPr>
          <w:rFonts w:hint="eastAsia" w:ascii="黑体" w:hAnsi="黑体" w:eastAsia="黑体" w:cs="黑体"/>
          <w:color w:val="000000" w:themeColor="text1"/>
          <w:sz w:val="32"/>
          <w:szCs w:val="32"/>
          <w14:textFill>
            <w14:solidFill>
              <w14:schemeClr w14:val="tx1"/>
            </w14:solidFill>
          </w14:textFill>
        </w:rPr>
      </w:pPr>
    </w:p>
    <w:p w14:paraId="388775E5">
      <w:pPr>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14:paraId="7FC17F82">
      <w:pPr>
        <w:spacing w:line="720" w:lineRule="exact"/>
        <w:jc w:val="center"/>
        <w:rPr>
          <w:rFonts w:ascii="微软雅黑" w:hAnsi="微软雅黑" w:eastAsia="微软雅黑" w:cs="微软雅黑"/>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代理机构场内行为承诺书</w:t>
      </w:r>
    </w:p>
    <w:p w14:paraId="3BAF7617">
      <w:pPr>
        <w:spacing w:line="720" w:lineRule="exact"/>
        <w:jc w:val="center"/>
        <w:rPr>
          <w:rFonts w:ascii="微软雅黑" w:hAnsi="微软雅黑" w:eastAsia="微软雅黑" w:cs="微软雅黑"/>
          <w:color w:val="000000" w:themeColor="text1"/>
          <w:sz w:val="40"/>
          <w:szCs w:val="40"/>
          <w14:textFill>
            <w14:solidFill>
              <w14:schemeClr w14:val="tx1"/>
            </w14:solidFill>
          </w14:textFill>
        </w:rPr>
      </w:pPr>
    </w:p>
    <w:p w14:paraId="0328E692">
      <w:pPr>
        <w:spacing w:line="60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赣州市公共资源交易中心龙南分中心：</w:t>
      </w:r>
    </w:p>
    <w:p w14:paraId="53D9E015">
      <w:pPr>
        <w:spacing w:line="600" w:lineRule="exact"/>
        <w:ind w:firstLine="64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为共同维护场内交易秩序，切实提高服务质量和水平，共同创造公开、公平、公正和诚实信用的公共资源交易环境。</w:t>
      </w:r>
    </w:p>
    <w:p w14:paraId="1D7BCC72">
      <w:pPr>
        <w:spacing w:line="600" w:lineRule="exact"/>
        <w:ind w:firstLine="64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我公司自愿接受赣州市公共资源交易中心龙南分中心场内管理，加强招投标、政府采购等相关法律法规学习，熟悉和掌握电子化交易流程和专业领域知识。严格按有关法律、法规和各类规范性文件的要求实施代理行为，严格遵守赣州市公共资源交易中心龙南分中心交易现场管理各项规定及工作纪律，遵纪守法，严守职业道德，公正履行职责并承担相应责任。如有违反，相关责任由我公司承担，我公司向赣州市公共资源交易中心龙南分中心提交的从业人员名单所列人员均为我公司工作人员，其行为后果由我公司承担。</w:t>
      </w:r>
    </w:p>
    <w:p w14:paraId="6DFCE1F0">
      <w:pPr>
        <w:spacing w:line="600" w:lineRule="exact"/>
        <w:ind w:firstLine="64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特此承诺。</w:t>
      </w:r>
    </w:p>
    <w:p w14:paraId="3218C3A5">
      <w:pPr>
        <w:spacing w:line="600" w:lineRule="exact"/>
        <w:ind w:firstLine="3520" w:firstLineChars="1100"/>
        <w:jc w:val="left"/>
        <w:rPr>
          <w:rFonts w:ascii="宋体" w:hAnsi="宋体" w:cs="宋体"/>
          <w:color w:val="000000" w:themeColor="text1"/>
          <w:sz w:val="32"/>
          <w:szCs w:val="32"/>
          <w14:textFill>
            <w14:solidFill>
              <w14:schemeClr w14:val="tx1"/>
            </w14:solidFill>
          </w14:textFill>
        </w:rPr>
      </w:pPr>
    </w:p>
    <w:p w14:paraId="6B9A3AC0">
      <w:pPr>
        <w:spacing w:line="600" w:lineRule="exact"/>
        <w:ind w:firstLine="3520" w:firstLineChars="11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代理机构（盖章）：</w:t>
      </w:r>
    </w:p>
    <w:p w14:paraId="1FCD15F6">
      <w:pPr>
        <w:spacing w:line="600" w:lineRule="exact"/>
        <w:ind w:firstLine="3520" w:firstLineChars="11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法定代表人签字：</w:t>
      </w:r>
    </w:p>
    <w:p w14:paraId="0B92FD5B">
      <w:pPr>
        <w:spacing w:line="600" w:lineRule="exact"/>
        <w:jc w:val="righ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年   月   日</w:t>
      </w:r>
    </w:p>
    <w:p w14:paraId="20E5B018">
      <w:pPr>
        <w:rPr>
          <w:color w:val="000000" w:themeColor="text1"/>
          <w14:textFill>
            <w14:solidFill>
              <w14:schemeClr w14:val="tx1"/>
            </w14:solidFill>
          </w14:textFill>
        </w:rPr>
      </w:pPr>
    </w:p>
    <w:p w14:paraId="2DC6EC34">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7FEA22D8">
      <w:pPr>
        <w:spacing w:line="720" w:lineRule="exact"/>
        <w:jc w:val="center"/>
        <w:rPr>
          <w:rFonts w:ascii="微软雅黑" w:hAnsi="微软雅黑" w:eastAsia="微软雅黑" w:cs="微软雅黑"/>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赣州市公共资源交易中心龙南分中心代理机构“负面行为清单”</w:t>
      </w:r>
    </w:p>
    <w:p w14:paraId="6E41E004">
      <w:pPr>
        <w:spacing w:line="720" w:lineRule="exact"/>
        <w:ind w:firstLine="800"/>
        <w:jc w:val="center"/>
        <w:rPr>
          <w:rFonts w:ascii="微软雅黑" w:hAnsi="微软雅黑" w:eastAsia="微软雅黑" w:cs="微软雅黑"/>
          <w:color w:val="000000" w:themeColor="text1"/>
          <w:sz w:val="40"/>
          <w:szCs w:val="40"/>
          <w14:textFill>
            <w14:solidFill>
              <w14:schemeClr w14:val="tx1"/>
            </w14:solidFill>
          </w14:textFill>
        </w:rPr>
      </w:pPr>
    </w:p>
    <w:tbl>
      <w:tblPr>
        <w:tblStyle w:val="7"/>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7462"/>
      </w:tblGrid>
      <w:tr w14:paraId="46E4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47" w:type="dxa"/>
            <w:noWrap/>
            <w:vAlign w:val="center"/>
          </w:tcPr>
          <w:p w14:paraId="1517CBCA">
            <w:pPr>
              <w:spacing w:line="56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记分分值</w:t>
            </w:r>
          </w:p>
        </w:tc>
        <w:tc>
          <w:tcPr>
            <w:tcW w:w="7462" w:type="dxa"/>
            <w:noWrap/>
            <w:vAlign w:val="center"/>
          </w:tcPr>
          <w:p w14:paraId="72A12382">
            <w:pPr>
              <w:spacing w:line="56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内容描述</w:t>
            </w:r>
          </w:p>
        </w:tc>
      </w:tr>
      <w:tr w14:paraId="686F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7" w:type="dxa"/>
            <w:noWrap/>
            <w:vAlign w:val="center"/>
          </w:tcPr>
          <w:p w14:paraId="535B0E7E">
            <w:pPr>
              <w:spacing w:line="56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每发现一起，扣10分。</w:t>
            </w:r>
          </w:p>
        </w:tc>
        <w:tc>
          <w:tcPr>
            <w:tcW w:w="7462" w:type="dxa"/>
            <w:noWrap/>
            <w:vAlign w:val="center"/>
          </w:tcPr>
          <w:p w14:paraId="4F7ADDDE">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1.在开评标过程中存在纠纷和质疑，未妥善处理的；</w:t>
            </w:r>
          </w:p>
          <w:p w14:paraId="1C0D8CBE">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2.在开标过程中，未拒收逾期送达或不按招标文件要求密封的投标文件，收取标书时未先核对投标资料的；</w:t>
            </w:r>
          </w:p>
          <w:p w14:paraId="77C2034F">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3.在开标前开启投标文件或将有关信息泄露给其他投标人（供应商）的；</w:t>
            </w:r>
          </w:p>
          <w:p w14:paraId="55974927">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4.在开标时提出招标文件要求以外的其他限制条件的；</w:t>
            </w:r>
          </w:p>
          <w:p w14:paraId="0D03EE45">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5.取消开标场地，未提前通知相关交易主体的；</w:t>
            </w:r>
          </w:p>
          <w:p w14:paraId="3FE01B39">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6.现场开标，允许未通过身份核验的投标人（供应商）代表在开标记录表上签字确认的；</w:t>
            </w:r>
          </w:p>
          <w:p w14:paraId="2F7A8D78">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7.未按交易流程要求进行投标保证金或保函核查、解密、文件导入、比对机器码等操作的；</w:t>
            </w:r>
          </w:p>
          <w:p w14:paraId="70688C05">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8.在评标过程中发表倾向性言论或干扰评标（评审）专家评标的；</w:t>
            </w:r>
          </w:p>
          <w:p w14:paraId="6E24E5D6">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9.对现场工作人员或评标（评审）专家等进行人格侮辱、人身攻击等扰乱现场交易秩序的；</w:t>
            </w:r>
          </w:p>
          <w:p w14:paraId="5FA3C843">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10.评标（评审）专家投诉不按标准支付、拖延支付评标费用的；</w:t>
            </w:r>
          </w:p>
          <w:p w14:paraId="25F4564C">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11.保证金未及时退还的；</w:t>
            </w:r>
          </w:p>
          <w:p w14:paraId="1AF36138">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12.对投标人（供应商）质疑不主动按要求澄清和解释的；</w:t>
            </w:r>
          </w:p>
          <w:p w14:paraId="1247A87B">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13.服务态度恶劣、不耐心的；</w:t>
            </w:r>
          </w:p>
          <w:p w14:paraId="5DED9615">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14.违反赣州市公共资源交易中心龙南分中心相关规定，不服从赣州市公共资源交易中心龙南分中心场内管理的；</w:t>
            </w:r>
          </w:p>
          <w:p w14:paraId="2AD346C3">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15.现场出现开评标不当行为，引起投诉的。</w:t>
            </w:r>
          </w:p>
        </w:tc>
      </w:tr>
      <w:tr w14:paraId="2F53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7" w:type="dxa"/>
            <w:noWrap/>
            <w:vAlign w:val="center"/>
          </w:tcPr>
          <w:p w14:paraId="7A89C35E">
            <w:pPr>
              <w:spacing w:line="560" w:lineRule="exact"/>
              <w:jc w:val="center"/>
              <w:rPr>
                <w:rFonts w:ascii="宋体" w:hAnsi="宋体" w:cs="宋体"/>
                <w:color w:val="000000" w:themeColor="text1"/>
                <w:sz w:val="28"/>
                <w:szCs w:val="28"/>
                <w14:textFill>
                  <w14:solidFill>
                    <w14:schemeClr w14:val="tx1"/>
                  </w14:solidFill>
                </w14:textFill>
              </w:rPr>
            </w:pPr>
          </w:p>
          <w:p w14:paraId="2CE590F2">
            <w:pPr>
              <w:spacing w:line="560" w:lineRule="exact"/>
              <w:jc w:val="center"/>
              <w:rPr>
                <w:rFonts w:ascii="宋体" w:hAnsi="宋体" w:cs="宋体"/>
                <w:color w:val="000000" w:themeColor="text1"/>
                <w:sz w:val="28"/>
                <w:szCs w:val="28"/>
                <w14:textFill>
                  <w14:solidFill>
                    <w14:schemeClr w14:val="tx1"/>
                  </w14:solidFill>
                </w14:textFill>
              </w:rPr>
            </w:pPr>
          </w:p>
          <w:p w14:paraId="593C233C">
            <w:pPr>
              <w:spacing w:line="560" w:lineRule="exact"/>
              <w:jc w:val="center"/>
              <w:rPr>
                <w:rFonts w:ascii="宋体" w:hAnsi="宋体" w:cs="宋体"/>
                <w:color w:val="000000" w:themeColor="text1"/>
                <w:sz w:val="28"/>
                <w:szCs w:val="28"/>
                <w14:textFill>
                  <w14:solidFill>
                    <w14:schemeClr w14:val="tx1"/>
                  </w14:solidFill>
                </w14:textFill>
              </w:rPr>
            </w:pPr>
          </w:p>
          <w:p w14:paraId="1BEEB81B">
            <w:pPr>
              <w:spacing w:line="560" w:lineRule="exact"/>
              <w:jc w:val="center"/>
              <w:rPr>
                <w:rFonts w:ascii="宋体" w:hAnsi="宋体" w:cs="宋体"/>
                <w:color w:val="000000" w:themeColor="text1"/>
                <w:sz w:val="28"/>
                <w:szCs w:val="28"/>
                <w14:textFill>
                  <w14:solidFill>
                    <w14:schemeClr w14:val="tx1"/>
                  </w14:solidFill>
                </w14:textFill>
              </w:rPr>
            </w:pPr>
          </w:p>
          <w:p w14:paraId="79F62978">
            <w:pPr>
              <w:spacing w:line="560" w:lineRule="exact"/>
              <w:jc w:val="center"/>
              <w:rPr>
                <w:rFonts w:ascii="宋体" w:hAnsi="宋体" w:cs="宋体"/>
                <w:color w:val="000000" w:themeColor="text1"/>
                <w:sz w:val="28"/>
                <w:szCs w:val="28"/>
                <w14:textFill>
                  <w14:solidFill>
                    <w14:schemeClr w14:val="tx1"/>
                  </w14:solidFill>
                </w14:textFill>
              </w:rPr>
            </w:pPr>
          </w:p>
          <w:p w14:paraId="415BF8F3">
            <w:pPr>
              <w:spacing w:line="560" w:lineRule="exact"/>
              <w:jc w:val="center"/>
              <w:rPr>
                <w:rFonts w:ascii="宋体" w:hAnsi="宋体" w:cs="宋体"/>
                <w:color w:val="000000" w:themeColor="text1"/>
                <w:sz w:val="28"/>
                <w:szCs w:val="28"/>
                <w14:textFill>
                  <w14:solidFill>
                    <w14:schemeClr w14:val="tx1"/>
                  </w14:solidFill>
                </w14:textFill>
              </w:rPr>
            </w:pPr>
          </w:p>
          <w:p w14:paraId="685EE339">
            <w:pPr>
              <w:spacing w:line="560" w:lineRule="exact"/>
              <w:jc w:val="center"/>
              <w:rPr>
                <w:rFonts w:ascii="宋体" w:hAnsi="宋体" w:cs="宋体"/>
                <w:color w:val="000000" w:themeColor="text1"/>
                <w:sz w:val="28"/>
                <w:szCs w:val="28"/>
                <w14:textFill>
                  <w14:solidFill>
                    <w14:schemeClr w14:val="tx1"/>
                  </w14:solidFill>
                </w14:textFill>
              </w:rPr>
            </w:pPr>
          </w:p>
          <w:p w14:paraId="7D9DDE56">
            <w:pPr>
              <w:spacing w:line="56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每发现一起，扣5分。</w:t>
            </w:r>
          </w:p>
          <w:p w14:paraId="1B9DC789">
            <w:pPr>
              <w:spacing w:line="560" w:lineRule="exact"/>
              <w:jc w:val="center"/>
              <w:rPr>
                <w:rFonts w:ascii="宋体" w:hAnsi="宋体" w:cs="宋体"/>
                <w:color w:val="000000" w:themeColor="text1"/>
                <w:sz w:val="28"/>
                <w:szCs w:val="28"/>
                <w14:textFill>
                  <w14:solidFill>
                    <w14:schemeClr w14:val="tx1"/>
                  </w14:solidFill>
                </w14:textFill>
              </w:rPr>
            </w:pPr>
          </w:p>
          <w:p w14:paraId="4EBF44D6">
            <w:pPr>
              <w:spacing w:line="560" w:lineRule="exact"/>
              <w:jc w:val="center"/>
              <w:rPr>
                <w:rFonts w:ascii="宋体" w:hAnsi="宋体" w:cs="宋体"/>
                <w:color w:val="000000" w:themeColor="text1"/>
                <w:sz w:val="28"/>
                <w:szCs w:val="28"/>
                <w14:textFill>
                  <w14:solidFill>
                    <w14:schemeClr w14:val="tx1"/>
                  </w14:solidFill>
                </w14:textFill>
              </w:rPr>
            </w:pPr>
          </w:p>
          <w:p w14:paraId="2C126501">
            <w:pPr>
              <w:spacing w:line="560" w:lineRule="exact"/>
              <w:jc w:val="center"/>
              <w:rPr>
                <w:rFonts w:ascii="宋体" w:hAnsi="宋体" w:cs="宋体"/>
                <w:color w:val="000000" w:themeColor="text1"/>
                <w:sz w:val="28"/>
                <w:szCs w:val="28"/>
                <w14:textFill>
                  <w14:solidFill>
                    <w14:schemeClr w14:val="tx1"/>
                  </w14:solidFill>
                </w14:textFill>
              </w:rPr>
            </w:pPr>
          </w:p>
          <w:p w14:paraId="2C4D6C56">
            <w:pPr>
              <w:spacing w:line="560" w:lineRule="exact"/>
              <w:jc w:val="center"/>
              <w:rPr>
                <w:rFonts w:ascii="宋体" w:hAnsi="宋体" w:cs="宋体"/>
                <w:color w:val="000000" w:themeColor="text1"/>
                <w:sz w:val="28"/>
                <w:szCs w:val="28"/>
                <w14:textFill>
                  <w14:solidFill>
                    <w14:schemeClr w14:val="tx1"/>
                  </w14:solidFill>
                </w14:textFill>
              </w:rPr>
            </w:pPr>
          </w:p>
          <w:p w14:paraId="5FC052CD">
            <w:pPr>
              <w:spacing w:line="560" w:lineRule="exact"/>
              <w:jc w:val="center"/>
              <w:rPr>
                <w:rFonts w:ascii="宋体" w:hAnsi="宋体" w:cs="宋体"/>
                <w:color w:val="000000" w:themeColor="text1"/>
                <w:sz w:val="28"/>
                <w:szCs w:val="28"/>
                <w14:textFill>
                  <w14:solidFill>
                    <w14:schemeClr w14:val="tx1"/>
                  </w14:solidFill>
                </w14:textFill>
              </w:rPr>
            </w:pPr>
          </w:p>
          <w:p w14:paraId="56910DAE">
            <w:pPr>
              <w:spacing w:line="560" w:lineRule="exact"/>
              <w:jc w:val="center"/>
              <w:rPr>
                <w:rFonts w:ascii="宋体" w:hAnsi="宋体" w:cs="宋体"/>
                <w:color w:val="000000" w:themeColor="text1"/>
                <w:sz w:val="28"/>
                <w:szCs w:val="28"/>
                <w14:textFill>
                  <w14:solidFill>
                    <w14:schemeClr w14:val="tx1"/>
                  </w14:solidFill>
                </w14:textFill>
              </w:rPr>
            </w:pPr>
          </w:p>
          <w:p w14:paraId="704C5F59">
            <w:pPr>
              <w:spacing w:line="560" w:lineRule="exact"/>
              <w:jc w:val="center"/>
              <w:rPr>
                <w:rFonts w:ascii="宋体" w:hAnsi="宋体" w:cs="宋体"/>
                <w:color w:val="000000" w:themeColor="text1"/>
                <w:sz w:val="28"/>
                <w:szCs w:val="28"/>
                <w14:textFill>
                  <w14:solidFill>
                    <w14:schemeClr w14:val="tx1"/>
                  </w14:solidFill>
                </w14:textFill>
              </w:rPr>
            </w:pPr>
          </w:p>
          <w:p w14:paraId="412B8749">
            <w:pPr>
              <w:spacing w:line="560" w:lineRule="exact"/>
              <w:jc w:val="center"/>
              <w:rPr>
                <w:rFonts w:ascii="宋体" w:hAnsi="宋体" w:cs="宋体"/>
                <w:color w:val="000000" w:themeColor="text1"/>
                <w:sz w:val="28"/>
                <w:szCs w:val="28"/>
                <w14:textFill>
                  <w14:solidFill>
                    <w14:schemeClr w14:val="tx1"/>
                  </w14:solidFill>
                </w14:textFill>
              </w:rPr>
            </w:pPr>
          </w:p>
          <w:p w14:paraId="3F654671">
            <w:pPr>
              <w:spacing w:line="560" w:lineRule="exact"/>
              <w:jc w:val="center"/>
              <w:rPr>
                <w:rFonts w:ascii="宋体" w:hAnsi="宋体" w:cs="宋体"/>
                <w:color w:val="000000" w:themeColor="text1"/>
                <w:sz w:val="28"/>
                <w:szCs w:val="28"/>
                <w14:textFill>
                  <w14:solidFill>
                    <w14:schemeClr w14:val="tx1"/>
                  </w14:solidFill>
                </w14:textFill>
              </w:rPr>
            </w:pPr>
          </w:p>
          <w:p w14:paraId="3F44EE18">
            <w:pPr>
              <w:spacing w:line="560" w:lineRule="exact"/>
              <w:jc w:val="center"/>
              <w:rPr>
                <w:rFonts w:ascii="宋体" w:hAnsi="宋体" w:cs="宋体"/>
                <w:color w:val="000000" w:themeColor="text1"/>
                <w:sz w:val="28"/>
                <w:szCs w:val="28"/>
                <w14:textFill>
                  <w14:solidFill>
                    <w14:schemeClr w14:val="tx1"/>
                  </w14:solidFill>
                </w14:textFill>
              </w:rPr>
            </w:pPr>
          </w:p>
          <w:p w14:paraId="3579621D">
            <w:pPr>
              <w:spacing w:line="560" w:lineRule="exact"/>
              <w:jc w:val="center"/>
              <w:rPr>
                <w:rFonts w:ascii="宋体" w:hAnsi="宋体" w:cs="宋体"/>
                <w:color w:val="000000" w:themeColor="text1"/>
                <w:sz w:val="28"/>
                <w:szCs w:val="28"/>
                <w14:textFill>
                  <w14:solidFill>
                    <w14:schemeClr w14:val="tx1"/>
                  </w14:solidFill>
                </w14:textFill>
              </w:rPr>
            </w:pPr>
          </w:p>
          <w:p w14:paraId="7278423D">
            <w:pPr>
              <w:spacing w:line="560" w:lineRule="exact"/>
              <w:jc w:val="center"/>
              <w:rPr>
                <w:rFonts w:ascii="宋体" w:hAnsi="宋体" w:cs="宋体"/>
                <w:color w:val="000000" w:themeColor="text1"/>
                <w:sz w:val="28"/>
                <w:szCs w:val="28"/>
                <w14:textFill>
                  <w14:solidFill>
                    <w14:schemeClr w14:val="tx1"/>
                  </w14:solidFill>
                </w14:textFill>
              </w:rPr>
            </w:pPr>
          </w:p>
          <w:p w14:paraId="636B9646">
            <w:pPr>
              <w:spacing w:line="560" w:lineRule="exact"/>
              <w:jc w:val="center"/>
              <w:rPr>
                <w:rFonts w:ascii="宋体" w:hAnsi="宋体" w:cs="宋体"/>
                <w:color w:val="000000" w:themeColor="text1"/>
                <w:sz w:val="28"/>
                <w:szCs w:val="28"/>
                <w14:textFill>
                  <w14:solidFill>
                    <w14:schemeClr w14:val="tx1"/>
                  </w14:solidFill>
                </w14:textFill>
              </w:rPr>
            </w:pPr>
          </w:p>
          <w:p w14:paraId="5472FEB3">
            <w:pPr>
              <w:spacing w:line="560" w:lineRule="exact"/>
              <w:jc w:val="center"/>
              <w:rPr>
                <w:rFonts w:ascii="宋体" w:hAnsi="宋体" w:cs="宋体"/>
                <w:color w:val="000000" w:themeColor="text1"/>
                <w:sz w:val="28"/>
                <w:szCs w:val="28"/>
                <w14:textFill>
                  <w14:solidFill>
                    <w14:schemeClr w14:val="tx1"/>
                  </w14:solidFill>
                </w14:textFill>
              </w:rPr>
            </w:pPr>
          </w:p>
        </w:tc>
        <w:tc>
          <w:tcPr>
            <w:tcW w:w="7462" w:type="dxa"/>
            <w:noWrap/>
            <w:vAlign w:val="center"/>
          </w:tcPr>
          <w:p w14:paraId="06C7C17B">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16.因主观原因未准时开评标的；</w:t>
            </w:r>
          </w:p>
          <w:p w14:paraId="7CE9785D">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17.将禁止物品带入评标区域的；</w:t>
            </w:r>
          </w:p>
          <w:p w14:paraId="5FCD5D4E">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18.允许与开标无关的人员进入开标现场的；</w:t>
            </w:r>
          </w:p>
          <w:p w14:paraId="74F4E4F1">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19.预约场地时间发生变动，未按规定及时在交易系统中变更或取消开、评标场地的；</w:t>
            </w:r>
          </w:p>
          <w:p w14:paraId="4EBDD5AF">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20.申请远程异地评标机位后，无正当理由临时取消或减少评标机位的；</w:t>
            </w:r>
          </w:p>
          <w:p w14:paraId="2235CA2D">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21.因代理机构工作人员操作失误而影响开评标进度，造成不良影响，需要进行系统数据修改的（如错填线上预约评标评审专家抽取关键信息等）；</w:t>
            </w:r>
          </w:p>
          <w:p w14:paraId="0BBED485">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22.私自调换开、评标室的；</w:t>
            </w:r>
          </w:p>
          <w:p w14:paraId="287D97A4">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23.未做好开标现场组织工作，导致开标现场混乱的；</w:t>
            </w:r>
          </w:p>
          <w:p w14:paraId="2EA89E9E">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24.开标期间，同一代理机构工作人员同时代理2个及以上项目，在不同开标室之间串岗的；</w:t>
            </w:r>
          </w:p>
          <w:p w14:paraId="3F06D223">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25.不按要求通过标书通道运送标书的；</w:t>
            </w:r>
          </w:p>
          <w:p w14:paraId="06E5BA4B">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26.在开标室吸烟或未劝阻投标人（供应商）吸烟的；</w:t>
            </w:r>
          </w:p>
          <w:p w14:paraId="7F812E08">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27.开评标结束后，带走赣州市公共资源交易中心龙南分中心公共财物，未在次日归还的；</w:t>
            </w:r>
          </w:p>
          <w:p w14:paraId="6DDEFF3B">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28.未严格收取和管理投标材料，造成投标人（供应商）投标材料遗失的；</w:t>
            </w:r>
          </w:p>
          <w:p w14:paraId="25A24165">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29.交易平台组织培训活动，报名后无故不参加的；</w:t>
            </w:r>
          </w:p>
          <w:p w14:paraId="1AA29ADC">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30.未按规定落实样品接收、保管、退还责任的；</w:t>
            </w:r>
          </w:p>
          <w:p w14:paraId="442EEED1">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31.未按时保障评标（评审）专家就餐，造成不良影响的；</w:t>
            </w:r>
          </w:p>
          <w:p w14:paraId="347F1CBF">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32.进入开标区域不爱护或不正确使用设备设施，导致损坏或不能正常运行的；</w:t>
            </w:r>
          </w:p>
          <w:p w14:paraId="7E2E8EF2">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33.进入开评标区，未按规定着装马甲的；</w:t>
            </w:r>
          </w:p>
          <w:p w14:paraId="50A8F1CC">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34.未按承诺时间补齐相关材料的；</w:t>
            </w:r>
          </w:p>
          <w:p w14:paraId="2D18CBBF">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35.开标结束进入评标阶段时，经提醒仍不到集中休息室等候的；</w:t>
            </w:r>
          </w:p>
          <w:p w14:paraId="5BB087DF">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36.未把控好开标时间，影响下一场项目开标的；</w:t>
            </w:r>
          </w:p>
          <w:p w14:paraId="5A456998">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37.在评标现场出现大声喧哗等不良行为的；</w:t>
            </w:r>
          </w:p>
          <w:p w14:paraId="273B8B88">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38.评标结束后将标书等物品遗留评标区的；</w:t>
            </w:r>
          </w:p>
          <w:p w14:paraId="7B7EC3FB">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39.擅自进入其他评标室使用设备或挪用计算器、摄像头等物品的；</w:t>
            </w:r>
          </w:p>
          <w:p w14:paraId="3291034E">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40.在开评标过程中，存在其它不当行为的。</w:t>
            </w:r>
          </w:p>
        </w:tc>
      </w:tr>
      <w:tr w14:paraId="2439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7" w:type="dxa"/>
            <w:noWrap/>
            <w:vAlign w:val="center"/>
          </w:tcPr>
          <w:p w14:paraId="31E75212">
            <w:pPr>
              <w:spacing w:line="56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每发现一起，扣2分。</w:t>
            </w:r>
          </w:p>
        </w:tc>
        <w:tc>
          <w:tcPr>
            <w:tcW w:w="7462" w:type="dxa"/>
            <w:noWrap/>
            <w:vAlign w:val="center"/>
          </w:tcPr>
          <w:p w14:paraId="5AB7A0D9">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41.因代理机构工作人员操作失误，需要进行系统数据修改的。（同一系统数据修改事项视其情节轻重，适用第21条或本条，不重复扣分）</w:t>
            </w:r>
          </w:p>
        </w:tc>
      </w:tr>
    </w:tbl>
    <w:p w14:paraId="750AF50A">
      <w:pPr>
        <w:ind w:left="958"/>
        <w:rPr>
          <w:rFonts w:ascii="仿宋_GB2312" w:hAnsi="宋体" w:eastAsia="仿宋_GB2312"/>
          <w:color w:val="000000" w:themeColor="text1"/>
          <w:sz w:val="32"/>
          <w:szCs w:val="32"/>
          <w14:textFill>
            <w14:solidFill>
              <w14:schemeClr w14:val="tx1"/>
            </w14:solidFill>
          </w14:textFill>
        </w:rPr>
      </w:pPr>
    </w:p>
    <w:p w14:paraId="11D7B475">
      <w:pPr>
        <w:rPr>
          <w:color w:val="000000" w:themeColor="text1"/>
          <w14:textFill>
            <w14:solidFill>
              <w14:schemeClr w14:val="tx1"/>
            </w14:solidFill>
          </w14:textFill>
        </w:rPr>
      </w:pPr>
    </w:p>
    <w:p w14:paraId="306A68CE">
      <w:pPr>
        <w:rPr>
          <w:color w:val="000000" w:themeColor="text1"/>
          <w14:textFill>
            <w14:solidFill>
              <w14:schemeClr w14:val="tx1"/>
            </w14:solidFill>
          </w14:textFill>
        </w:rPr>
      </w:pPr>
    </w:p>
    <w:p w14:paraId="2998F8C2">
      <w:pPr>
        <w:rPr>
          <w:color w:val="000000" w:themeColor="text1"/>
          <w14:textFill>
            <w14:solidFill>
              <w14:schemeClr w14:val="tx1"/>
            </w14:solidFill>
          </w14:textFill>
        </w:rPr>
      </w:pPr>
    </w:p>
    <w:p w14:paraId="0A0A112C">
      <w:pPr>
        <w:rPr>
          <w:color w:val="000000" w:themeColor="text1"/>
          <w14:textFill>
            <w14:solidFill>
              <w14:schemeClr w14:val="tx1"/>
            </w14:solidFill>
          </w14:textFill>
        </w:rPr>
      </w:pPr>
    </w:p>
    <w:p w14:paraId="340420CF">
      <w:pPr>
        <w:rPr>
          <w:color w:val="000000" w:themeColor="text1"/>
          <w14:textFill>
            <w14:solidFill>
              <w14:schemeClr w14:val="tx1"/>
            </w14:solidFill>
          </w14:textFill>
        </w:rPr>
      </w:pPr>
    </w:p>
    <w:p w14:paraId="1C24436B">
      <w:pPr>
        <w:rPr>
          <w:color w:val="000000" w:themeColor="text1"/>
          <w14:textFill>
            <w14:solidFill>
              <w14:schemeClr w14:val="tx1"/>
            </w14:solidFill>
          </w14:textFill>
        </w:rPr>
      </w:pPr>
    </w:p>
    <w:p w14:paraId="365311B4">
      <w:pPr>
        <w:rPr>
          <w:color w:val="000000" w:themeColor="text1"/>
          <w14:textFill>
            <w14:solidFill>
              <w14:schemeClr w14:val="tx1"/>
            </w14:solidFill>
          </w14:textFill>
        </w:rPr>
      </w:pPr>
    </w:p>
    <w:p w14:paraId="6BAD4518">
      <w:pPr>
        <w:rPr>
          <w:color w:val="000000" w:themeColor="text1"/>
          <w14:textFill>
            <w14:solidFill>
              <w14:schemeClr w14:val="tx1"/>
            </w14:solidFill>
          </w14:textFill>
        </w:rPr>
      </w:pPr>
    </w:p>
    <w:p w14:paraId="3A0BD23C">
      <w:pPr>
        <w:rPr>
          <w:color w:val="000000" w:themeColor="text1"/>
          <w14:textFill>
            <w14:solidFill>
              <w14:schemeClr w14:val="tx1"/>
            </w14:solidFill>
          </w14:textFill>
        </w:rPr>
      </w:pPr>
    </w:p>
    <w:p w14:paraId="7A7BFAA0">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14:paraId="5AB121A0">
      <w:pPr>
        <w:spacing w:line="720" w:lineRule="exact"/>
        <w:jc w:val="center"/>
        <w:rPr>
          <w:rFonts w:ascii="微软雅黑" w:hAnsi="微软雅黑" w:eastAsia="微软雅黑" w:cs="微软雅黑"/>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 xml:space="preserve"> 介绍信（模版）</w:t>
      </w:r>
    </w:p>
    <w:p w14:paraId="090165B5">
      <w:pPr>
        <w:rPr>
          <w:rFonts w:ascii="微软雅黑" w:hAnsi="黑体" w:eastAsia="微软雅黑"/>
          <w:color w:val="000000" w:themeColor="text1"/>
          <w:spacing w:val="20"/>
          <w:sz w:val="40"/>
          <w:szCs w:val="40"/>
          <w14:textFill>
            <w14:solidFill>
              <w14:schemeClr w14:val="tx1"/>
            </w14:solidFill>
          </w14:textFill>
        </w:rPr>
      </w:pPr>
    </w:p>
    <w:p w14:paraId="772ADC5D">
      <w:pPr>
        <w:spacing w:line="60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赣州市公共资源交易中心龙南分中心：</w:t>
      </w:r>
    </w:p>
    <w:p w14:paraId="4FFFD0B4">
      <w:pPr>
        <w:spacing w:line="600" w:lineRule="exact"/>
        <w:ind w:firstLine="640" w:firstLineChars="2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我公司为项目的招标代理机构，安排以下人员服务该项目，其行为后果由我公司承担。</w:t>
      </w:r>
    </w:p>
    <w:p w14:paraId="78FE6AA5">
      <w:pPr>
        <w:spacing w:line="600" w:lineRule="exact"/>
        <w:ind w:firstLine="640" w:firstLineChars="200"/>
        <w:rPr>
          <w:rFonts w:ascii="宋体" w:hAnsi="宋体" w:cs="宋体"/>
          <w:color w:val="000000" w:themeColor="text1"/>
          <w:sz w:val="32"/>
          <w:szCs w:val="32"/>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18"/>
        <w:gridCol w:w="1734"/>
        <w:gridCol w:w="1862"/>
        <w:gridCol w:w="1581"/>
        <w:gridCol w:w="1261"/>
      </w:tblGrid>
      <w:tr w14:paraId="642E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1D3C9C1C">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序号</w:t>
            </w:r>
          </w:p>
        </w:tc>
        <w:tc>
          <w:tcPr>
            <w:tcW w:w="1118" w:type="dxa"/>
          </w:tcPr>
          <w:p w14:paraId="2640217E">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姓名</w:t>
            </w:r>
          </w:p>
        </w:tc>
        <w:tc>
          <w:tcPr>
            <w:tcW w:w="1734" w:type="dxa"/>
          </w:tcPr>
          <w:p w14:paraId="06495BBC">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身份号码</w:t>
            </w:r>
          </w:p>
        </w:tc>
        <w:tc>
          <w:tcPr>
            <w:tcW w:w="1862" w:type="dxa"/>
          </w:tcPr>
          <w:p w14:paraId="6FA0EE39">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部门及职务</w:t>
            </w:r>
          </w:p>
        </w:tc>
        <w:tc>
          <w:tcPr>
            <w:tcW w:w="1581" w:type="dxa"/>
          </w:tcPr>
          <w:p w14:paraId="0F2CB627">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联系电话</w:t>
            </w:r>
          </w:p>
        </w:tc>
        <w:tc>
          <w:tcPr>
            <w:tcW w:w="1261" w:type="dxa"/>
          </w:tcPr>
          <w:p w14:paraId="5EC63337">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备注</w:t>
            </w:r>
          </w:p>
        </w:tc>
      </w:tr>
      <w:tr w14:paraId="6D8A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7781D8F4">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w:t>
            </w:r>
          </w:p>
        </w:tc>
        <w:tc>
          <w:tcPr>
            <w:tcW w:w="1118" w:type="dxa"/>
          </w:tcPr>
          <w:p w14:paraId="118413D1">
            <w:pPr>
              <w:spacing w:line="600" w:lineRule="exact"/>
              <w:rPr>
                <w:rFonts w:ascii="宋体" w:hAnsi="宋体" w:cs="宋体"/>
                <w:color w:val="000000" w:themeColor="text1"/>
                <w:sz w:val="32"/>
                <w:szCs w:val="32"/>
                <w14:textFill>
                  <w14:solidFill>
                    <w14:schemeClr w14:val="tx1"/>
                  </w14:solidFill>
                </w14:textFill>
              </w:rPr>
            </w:pPr>
          </w:p>
        </w:tc>
        <w:tc>
          <w:tcPr>
            <w:tcW w:w="1734" w:type="dxa"/>
          </w:tcPr>
          <w:p w14:paraId="5248DBFC">
            <w:pPr>
              <w:spacing w:line="600" w:lineRule="exact"/>
              <w:rPr>
                <w:rFonts w:ascii="宋体" w:hAnsi="宋体" w:cs="宋体"/>
                <w:color w:val="000000" w:themeColor="text1"/>
                <w:sz w:val="32"/>
                <w:szCs w:val="32"/>
                <w14:textFill>
                  <w14:solidFill>
                    <w14:schemeClr w14:val="tx1"/>
                  </w14:solidFill>
                </w14:textFill>
              </w:rPr>
            </w:pPr>
          </w:p>
        </w:tc>
        <w:tc>
          <w:tcPr>
            <w:tcW w:w="1862" w:type="dxa"/>
          </w:tcPr>
          <w:p w14:paraId="5A75BB69">
            <w:pPr>
              <w:spacing w:line="600" w:lineRule="exact"/>
              <w:rPr>
                <w:rFonts w:ascii="宋体" w:hAnsi="宋体" w:cs="宋体"/>
                <w:color w:val="000000" w:themeColor="text1"/>
                <w:sz w:val="32"/>
                <w:szCs w:val="32"/>
                <w14:textFill>
                  <w14:solidFill>
                    <w14:schemeClr w14:val="tx1"/>
                  </w14:solidFill>
                </w14:textFill>
              </w:rPr>
            </w:pPr>
          </w:p>
        </w:tc>
        <w:tc>
          <w:tcPr>
            <w:tcW w:w="1581" w:type="dxa"/>
          </w:tcPr>
          <w:p w14:paraId="6C06D916">
            <w:pPr>
              <w:spacing w:line="600" w:lineRule="exact"/>
              <w:rPr>
                <w:rFonts w:ascii="宋体" w:hAnsi="宋体" w:cs="宋体"/>
                <w:color w:val="000000" w:themeColor="text1"/>
                <w:sz w:val="32"/>
                <w:szCs w:val="32"/>
                <w14:textFill>
                  <w14:solidFill>
                    <w14:schemeClr w14:val="tx1"/>
                  </w14:solidFill>
                </w14:textFill>
              </w:rPr>
            </w:pPr>
          </w:p>
        </w:tc>
        <w:tc>
          <w:tcPr>
            <w:tcW w:w="1261" w:type="dxa"/>
          </w:tcPr>
          <w:p w14:paraId="4F8B6778">
            <w:pPr>
              <w:spacing w:line="600" w:lineRule="exact"/>
              <w:rPr>
                <w:rFonts w:ascii="宋体" w:hAnsi="宋体" w:cs="宋体"/>
                <w:color w:val="000000" w:themeColor="text1"/>
                <w:sz w:val="32"/>
                <w:szCs w:val="32"/>
                <w14:textFill>
                  <w14:solidFill>
                    <w14:schemeClr w14:val="tx1"/>
                  </w14:solidFill>
                </w14:textFill>
              </w:rPr>
            </w:pPr>
          </w:p>
        </w:tc>
      </w:tr>
      <w:tr w14:paraId="76EB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448B5698">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w:t>
            </w:r>
          </w:p>
        </w:tc>
        <w:tc>
          <w:tcPr>
            <w:tcW w:w="1118" w:type="dxa"/>
          </w:tcPr>
          <w:p w14:paraId="3994AF34">
            <w:pPr>
              <w:spacing w:line="600" w:lineRule="exact"/>
              <w:rPr>
                <w:rFonts w:ascii="宋体" w:hAnsi="宋体" w:cs="宋体"/>
                <w:color w:val="000000" w:themeColor="text1"/>
                <w:sz w:val="32"/>
                <w:szCs w:val="32"/>
                <w14:textFill>
                  <w14:solidFill>
                    <w14:schemeClr w14:val="tx1"/>
                  </w14:solidFill>
                </w14:textFill>
              </w:rPr>
            </w:pPr>
          </w:p>
        </w:tc>
        <w:tc>
          <w:tcPr>
            <w:tcW w:w="1734" w:type="dxa"/>
          </w:tcPr>
          <w:p w14:paraId="4FB049CD">
            <w:pPr>
              <w:spacing w:line="600" w:lineRule="exact"/>
              <w:rPr>
                <w:rFonts w:ascii="宋体" w:hAnsi="宋体" w:cs="宋体"/>
                <w:color w:val="000000" w:themeColor="text1"/>
                <w:sz w:val="32"/>
                <w:szCs w:val="32"/>
                <w14:textFill>
                  <w14:solidFill>
                    <w14:schemeClr w14:val="tx1"/>
                  </w14:solidFill>
                </w14:textFill>
              </w:rPr>
            </w:pPr>
          </w:p>
        </w:tc>
        <w:tc>
          <w:tcPr>
            <w:tcW w:w="1862" w:type="dxa"/>
          </w:tcPr>
          <w:p w14:paraId="231EAFDD">
            <w:pPr>
              <w:spacing w:line="600" w:lineRule="exact"/>
              <w:rPr>
                <w:rFonts w:ascii="宋体" w:hAnsi="宋体" w:cs="宋体"/>
                <w:color w:val="000000" w:themeColor="text1"/>
                <w:sz w:val="32"/>
                <w:szCs w:val="32"/>
                <w14:textFill>
                  <w14:solidFill>
                    <w14:schemeClr w14:val="tx1"/>
                  </w14:solidFill>
                </w14:textFill>
              </w:rPr>
            </w:pPr>
          </w:p>
        </w:tc>
        <w:tc>
          <w:tcPr>
            <w:tcW w:w="1581" w:type="dxa"/>
          </w:tcPr>
          <w:p w14:paraId="1A1A9CC9">
            <w:pPr>
              <w:spacing w:line="600" w:lineRule="exact"/>
              <w:rPr>
                <w:rFonts w:ascii="宋体" w:hAnsi="宋体" w:cs="宋体"/>
                <w:color w:val="000000" w:themeColor="text1"/>
                <w:sz w:val="32"/>
                <w:szCs w:val="32"/>
                <w14:textFill>
                  <w14:solidFill>
                    <w14:schemeClr w14:val="tx1"/>
                  </w14:solidFill>
                </w14:textFill>
              </w:rPr>
            </w:pPr>
          </w:p>
        </w:tc>
        <w:tc>
          <w:tcPr>
            <w:tcW w:w="1261" w:type="dxa"/>
          </w:tcPr>
          <w:p w14:paraId="191F323D">
            <w:pPr>
              <w:spacing w:line="600" w:lineRule="exact"/>
              <w:rPr>
                <w:rFonts w:ascii="宋体" w:hAnsi="宋体" w:cs="宋体"/>
                <w:color w:val="000000" w:themeColor="text1"/>
                <w:sz w:val="32"/>
                <w:szCs w:val="32"/>
                <w14:textFill>
                  <w14:solidFill>
                    <w14:schemeClr w14:val="tx1"/>
                  </w14:solidFill>
                </w14:textFill>
              </w:rPr>
            </w:pPr>
          </w:p>
        </w:tc>
      </w:tr>
      <w:tr w14:paraId="39CA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0733DAEE">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w:t>
            </w:r>
          </w:p>
        </w:tc>
        <w:tc>
          <w:tcPr>
            <w:tcW w:w="1118" w:type="dxa"/>
          </w:tcPr>
          <w:p w14:paraId="5D841F38">
            <w:pPr>
              <w:spacing w:line="600" w:lineRule="exact"/>
              <w:rPr>
                <w:rFonts w:ascii="宋体" w:hAnsi="宋体" w:cs="宋体"/>
                <w:color w:val="000000" w:themeColor="text1"/>
                <w:sz w:val="32"/>
                <w:szCs w:val="32"/>
                <w14:textFill>
                  <w14:solidFill>
                    <w14:schemeClr w14:val="tx1"/>
                  </w14:solidFill>
                </w14:textFill>
              </w:rPr>
            </w:pPr>
          </w:p>
        </w:tc>
        <w:tc>
          <w:tcPr>
            <w:tcW w:w="1734" w:type="dxa"/>
          </w:tcPr>
          <w:p w14:paraId="68B515F9">
            <w:pPr>
              <w:spacing w:line="600" w:lineRule="exact"/>
              <w:rPr>
                <w:rFonts w:ascii="宋体" w:hAnsi="宋体" w:cs="宋体"/>
                <w:color w:val="000000" w:themeColor="text1"/>
                <w:sz w:val="32"/>
                <w:szCs w:val="32"/>
                <w14:textFill>
                  <w14:solidFill>
                    <w14:schemeClr w14:val="tx1"/>
                  </w14:solidFill>
                </w14:textFill>
              </w:rPr>
            </w:pPr>
          </w:p>
        </w:tc>
        <w:tc>
          <w:tcPr>
            <w:tcW w:w="1862" w:type="dxa"/>
          </w:tcPr>
          <w:p w14:paraId="760114B9">
            <w:pPr>
              <w:spacing w:line="600" w:lineRule="exact"/>
              <w:rPr>
                <w:rFonts w:ascii="宋体" w:hAnsi="宋体" w:cs="宋体"/>
                <w:color w:val="000000" w:themeColor="text1"/>
                <w:sz w:val="32"/>
                <w:szCs w:val="32"/>
                <w14:textFill>
                  <w14:solidFill>
                    <w14:schemeClr w14:val="tx1"/>
                  </w14:solidFill>
                </w14:textFill>
              </w:rPr>
            </w:pPr>
          </w:p>
        </w:tc>
        <w:tc>
          <w:tcPr>
            <w:tcW w:w="1581" w:type="dxa"/>
          </w:tcPr>
          <w:p w14:paraId="437523DA">
            <w:pPr>
              <w:spacing w:line="600" w:lineRule="exact"/>
              <w:rPr>
                <w:rFonts w:ascii="宋体" w:hAnsi="宋体" w:cs="宋体"/>
                <w:color w:val="000000" w:themeColor="text1"/>
                <w:sz w:val="32"/>
                <w:szCs w:val="32"/>
                <w14:textFill>
                  <w14:solidFill>
                    <w14:schemeClr w14:val="tx1"/>
                  </w14:solidFill>
                </w14:textFill>
              </w:rPr>
            </w:pPr>
          </w:p>
        </w:tc>
        <w:tc>
          <w:tcPr>
            <w:tcW w:w="1261" w:type="dxa"/>
          </w:tcPr>
          <w:p w14:paraId="2B2927B8">
            <w:pPr>
              <w:spacing w:line="600" w:lineRule="exact"/>
              <w:rPr>
                <w:rFonts w:ascii="宋体" w:hAnsi="宋体" w:cs="宋体"/>
                <w:color w:val="000000" w:themeColor="text1"/>
                <w:sz w:val="32"/>
                <w:szCs w:val="32"/>
                <w14:textFill>
                  <w14:solidFill>
                    <w14:schemeClr w14:val="tx1"/>
                  </w14:solidFill>
                </w14:textFill>
              </w:rPr>
            </w:pPr>
          </w:p>
        </w:tc>
      </w:tr>
      <w:tr w14:paraId="1881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02403386">
            <w:pPr>
              <w:spacing w:line="6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w:t>
            </w:r>
          </w:p>
        </w:tc>
        <w:tc>
          <w:tcPr>
            <w:tcW w:w="1118" w:type="dxa"/>
          </w:tcPr>
          <w:p w14:paraId="54C7A528">
            <w:pPr>
              <w:spacing w:line="600" w:lineRule="exact"/>
              <w:rPr>
                <w:rFonts w:ascii="宋体" w:hAnsi="宋体" w:cs="宋体"/>
                <w:color w:val="000000" w:themeColor="text1"/>
                <w:sz w:val="32"/>
                <w:szCs w:val="32"/>
                <w14:textFill>
                  <w14:solidFill>
                    <w14:schemeClr w14:val="tx1"/>
                  </w14:solidFill>
                </w14:textFill>
              </w:rPr>
            </w:pPr>
          </w:p>
        </w:tc>
        <w:tc>
          <w:tcPr>
            <w:tcW w:w="1734" w:type="dxa"/>
          </w:tcPr>
          <w:p w14:paraId="44F07003">
            <w:pPr>
              <w:spacing w:line="600" w:lineRule="exact"/>
              <w:rPr>
                <w:rFonts w:ascii="宋体" w:hAnsi="宋体" w:cs="宋体"/>
                <w:color w:val="000000" w:themeColor="text1"/>
                <w:sz w:val="32"/>
                <w:szCs w:val="32"/>
                <w14:textFill>
                  <w14:solidFill>
                    <w14:schemeClr w14:val="tx1"/>
                  </w14:solidFill>
                </w14:textFill>
              </w:rPr>
            </w:pPr>
          </w:p>
        </w:tc>
        <w:tc>
          <w:tcPr>
            <w:tcW w:w="1862" w:type="dxa"/>
          </w:tcPr>
          <w:p w14:paraId="32CEAC19">
            <w:pPr>
              <w:spacing w:line="600" w:lineRule="exact"/>
              <w:rPr>
                <w:rFonts w:ascii="宋体" w:hAnsi="宋体" w:cs="宋体"/>
                <w:color w:val="000000" w:themeColor="text1"/>
                <w:sz w:val="32"/>
                <w:szCs w:val="32"/>
                <w14:textFill>
                  <w14:solidFill>
                    <w14:schemeClr w14:val="tx1"/>
                  </w14:solidFill>
                </w14:textFill>
              </w:rPr>
            </w:pPr>
          </w:p>
        </w:tc>
        <w:tc>
          <w:tcPr>
            <w:tcW w:w="1581" w:type="dxa"/>
          </w:tcPr>
          <w:p w14:paraId="35ED2487">
            <w:pPr>
              <w:spacing w:line="600" w:lineRule="exact"/>
              <w:rPr>
                <w:rFonts w:ascii="宋体" w:hAnsi="宋体" w:cs="宋体"/>
                <w:color w:val="000000" w:themeColor="text1"/>
                <w:sz w:val="32"/>
                <w:szCs w:val="32"/>
                <w14:textFill>
                  <w14:solidFill>
                    <w14:schemeClr w14:val="tx1"/>
                  </w14:solidFill>
                </w14:textFill>
              </w:rPr>
            </w:pPr>
          </w:p>
        </w:tc>
        <w:tc>
          <w:tcPr>
            <w:tcW w:w="1261" w:type="dxa"/>
          </w:tcPr>
          <w:p w14:paraId="3D97EF55">
            <w:pPr>
              <w:spacing w:line="600" w:lineRule="exact"/>
              <w:rPr>
                <w:rFonts w:ascii="宋体" w:hAnsi="宋体" w:cs="宋体"/>
                <w:color w:val="000000" w:themeColor="text1"/>
                <w:sz w:val="32"/>
                <w:szCs w:val="32"/>
                <w14:textFill>
                  <w14:solidFill>
                    <w14:schemeClr w14:val="tx1"/>
                  </w14:solidFill>
                </w14:textFill>
              </w:rPr>
            </w:pPr>
          </w:p>
        </w:tc>
      </w:tr>
    </w:tbl>
    <w:p w14:paraId="51AE3244">
      <w:pPr>
        <w:spacing w:line="600" w:lineRule="exact"/>
        <w:ind w:firstLine="3520" w:firstLineChars="1100"/>
        <w:jc w:val="left"/>
        <w:rPr>
          <w:rFonts w:ascii="宋体" w:hAnsi="宋体" w:cs="宋体"/>
          <w:color w:val="000000" w:themeColor="text1"/>
          <w:sz w:val="32"/>
          <w:szCs w:val="32"/>
          <w14:textFill>
            <w14:solidFill>
              <w14:schemeClr w14:val="tx1"/>
            </w14:solidFill>
          </w14:textFill>
        </w:rPr>
      </w:pPr>
    </w:p>
    <w:p w14:paraId="1454F80E">
      <w:pPr>
        <w:spacing w:line="600" w:lineRule="exact"/>
        <w:ind w:firstLine="3520" w:firstLineChars="11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代理机构（盖章）：</w:t>
      </w:r>
    </w:p>
    <w:p w14:paraId="035CFBED">
      <w:pPr>
        <w:spacing w:line="600" w:lineRule="exact"/>
        <w:ind w:firstLine="3520" w:firstLineChars="1100"/>
        <w:jc w:val="left"/>
        <w:rPr>
          <w:rFonts w:ascii="宋体" w:hAnsi="宋体" w:cs="宋体"/>
          <w:color w:val="000000" w:themeColor="text1"/>
          <w:sz w:val="32"/>
          <w:szCs w:val="32"/>
          <w14:textFill>
            <w14:solidFill>
              <w14:schemeClr w14:val="tx1"/>
            </w14:solidFill>
          </w14:textFill>
        </w:rPr>
      </w:pPr>
    </w:p>
    <w:p w14:paraId="0EBAAF27">
      <w:pPr>
        <w:jc w:val="right"/>
        <w:rPr>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年   月   日</w:t>
      </w:r>
    </w:p>
    <w:p w14:paraId="43F18717">
      <w:pPr>
        <w:pStyle w:val="2"/>
        <w:ind w:left="0" w:leftChars="0" w:firstLine="0" w:firstLineChars="0"/>
        <w:rPr>
          <w:rFonts w:hint="eastAsia"/>
          <w:color w:val="000000" w:themeColor="text1"/>
          <w14:textFill>
            <w14:solidFill>
              <w14:schemeClr w14:val="tx1"/>
            </w14:solidFill>
          </w14:textFill>
        </w:rPr>
      </w:pPr>
    </w:p>
    <w:p w14:paraId="6630AC9B">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14CEA044">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02B132ED">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57C21368">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7683C45B">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1172C9F7">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6E9C20BE">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0CA817F6">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45E6ECA5">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54649854">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2B7AB17B">
      <w:pPr>
        <w:pStyle w:val="2"/>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color w:val="000000" w:themeColor="text1"/>
          <w14:textFill>
            <w14:solidFill>
              <w14:schemeClr w14:val="tx1"/>
            </w14:solidFill>
          </w14:textFill>
        </w:rPr>
      </w:pPr>
    </w:p>
    <w:p w14:paraId="22A89E9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14:textFill>
            <w14:solidFill>
              <w14:schemeClr w14:val="tx1"/>
            </w14:solidFill>
          </w14:textFill>
        </w:rPr>
      </w:pPr>
    </w:p>
    <w:p w14:paraId="667DFEF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14:textFill>
            <w14:solidFill>
              <w14:schemeClr w14:val="tx1"/>
            </w14:solidFill>
          </w14:textFill>
        </w:rPr>
      </w:pPr>
    </w:p>
    <w:p w14:paraId="23028AE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14:textFill>
            <w14:solidFill>
              <w14:schemeClr w14:val="tx1"/>
            </w14:solidFill>
          </w14:textFill>
        </w:rPr>
      </w:pPr>
    </w:p>
    <w:p w14:paraId="4A70BF3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14:textFill>
            <w14:solidFill>
              <w14:schemeClr w14:val="tx1"/>
            </w14:solidFill>
          </w14:textFill>
        </w:rPr>
      </w:pPr>
    </w:p>
    <w:p w14:paraId="1491BFB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14:textFill>
            <w14:solidFill>
              <w14:schemeClr w14:val="tx1"/>
            </w14:solidFill>
          </w14:textFill>
        </w:rPr>
      </w:pPr>
    </w:p>
    <w:p w14:paraId="24646EDB">
      <w:pPr>
        <w:tabs>
          <w:tab w:val="left" w:pos="2520"/>
        </w:tabs>
        <w:spacing w:line="500" w:lineRule="exact"/>
        <w:ind w:firstLine="150" w:firstLineChars="50"/>
        <w:rPr>
          <w:rFonts w:ascii="宋体" w:hAnsi="宋体" w:eastAsia="宋体" w:cs="Times New Roman"/>
          <w:color w:val="000000" w:themeColor="text1"/>
          <w:spacing w:val="10"/>
          <w:sz w:val="28"/>
          <w:szCs w:val="28"/>
          <w14:textFill>
            <w14:solidFill>
              <w14:schemeClr w14:val="tx1"/>
            </w14:solidFill>
          </w14:textFill>
        </w:rPr>
      </w:pPr>
      <w:r>
        <w:rPr>
          <w:rFonts w:hint="eastAsia" w:ascii="宋体" w:hAnsi="宋体" w:eastAsia="仿宋_GB2312" w:cs="Times New Roman"/>
          <w:color w:val="000000" w:themeColor="text1"/>
          <w:spacing w:val="10"/>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20320</wp:posOffset>
                </wp:positionV>
                <wp:extent cx="5734050" cy="2540"/>
                <wp:effectExtent l="0" t="0" r="0" b="0"/>
                <wp:wrapNone/>
                <wp:docPr id="48" name="直接连接符 48"/>
                <wp:cNvGraphicFramePr/>
                <a:graphic xmlns:a="http://schemas.openxmlformats.org/drawingml/2006/main">
                  <a:graphicData uri="http://schemas.microsoft.com/office/word/2010/wordprocessingShape">
                    <wps:wsp>
                      <wps:cNvCnPr/>
                      <wps:spPr>
                        <a:xfrm>
                          <a:off x="0" y="0"/>
                          <a:ext cx="5734050" cy="254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pt;height:0.2pt;width:451.5pt;z-index:251659264;mso-width-relative:page;mso-height-relative:page;" filled="f" stroked="t" coordsize="21600,21600" o:gfxdata="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mNnhvUAAAABAEAAA8AAAAAAAAAAQAgAAAAIgAAAGRycy9kb3ducmV2&#10;LnhtbFBLAQIUABQAAAAIAIdO4kD7yhn3AAIAAPgDAAAOAAAAAAAAAAEAIAAAACMBAABkcnMvZTJv&#10;RG9jLnhtbFBLBQYAAAAABgAGAFkBAACVBQAAAAA=&#10;">
                <v:fill on="f" focussize="0,0"/>
                <v:stroke weight="1.25pt" color="#000000" joinstyle="round"/>
                <v:imagedata o:title=""/>
                <o:lock v:ext="edit" aspectratio="f"/>
              </v:line>
            </w:pict>
          </mc:Fallback>
        </mc:AlternateContent>
      </w:r>
      <w:r>
        <w:rPr>
          <w:rFonts w:hint="eastAsia" w:ascii="宋体" w:hAnsi="宋体" w:eastAsia="仿宋_GB2312" w:cs="Times New Roman"/>
          <w:color w:val="000000" w:themeColor="text1"/>
          <w:spacing w:val="10"/>
          <w:sz w:val="28"/>
          <w:szCs w:val="28"/>
          <w:lang w:eastAsia="zh-CN"/>
          <w14:textFill>
            <w14:solidFill>
              <w14:schemeClr w14:val="tx1"/>
            </w14:solidFill>
          </w14:textFill>
        </w:rPr>
        <w:t>龙南市</w:t>
      </w:r>
      <w:r>
        <w:rPr>
          <w:rFonts w:hint="eastAsia" w:ascii="宋体" w:hAnsi="宋体" w:eastAsia="仿宋_GB2312" w:cs="Times New Roman"/>
          <w:color w:val="000000" w:themeColor="text1"/>
          <w:spacing w:val="10"/>
          <w:sz w:val="28"/>
          <w:szCs w:val="28"/>
          <w:lang w:val="en-US" w:eastAsia="zh-CN"/>
          <w14:textFill>
            <w14:solidFill>
              <w14:schemeClr w14:val="tx1"/>
            </w14:solidFill>
          </w14:textFill>
        </w:rPr>
        <w:t>行政审批局</w:t>
      </w:r>
      <w:r>
        <w:rPr>
          <w:rFonts w:hint="eastAsia" w:ascii="宋体" w:hAnsi="宋体" w:eastAsia="仿宋_GB2312" w:cs="Times New Roman"/>
          <w:color w:val="000000" w:themeColor="text1"/>
          <w:spacing w:val="10"/>
          <w:sz w:val="28"/>
          <w:szCs w:val="28"/>
          <w:lang w:val="en-US" w:eastAsia="zh-CN"/>
          <w14:textFill>
            <w14:solidFill>
              <w14:schemeClr w14:val="tx1"/>
            </w14:solidFill>
          </w14:textFill>
        </w:rPr>
        <w:t xml:space="preserve">                      </w:t>
      </w:r>
      <w:r>
        <w:rPr>
          <w:rFonts w:hint="eastAsia" w:ascii="宋体" w:hAnsi="宋体" w:eastAsia="仿宋_GB2312" w:cs="Times New Roman"/>
          <w:color w:val="000000" w:themeColor="text1"/>
          <w:spacing w:val="10"/>
          <w:sz w:val="28"/>
          <w:szCs w:val="28"/>
          <w14:textFill>
            <w14:solidFill>
              <w14:schemeClr w14:val="tx1"/>
            </w14:solidFill>
          </w14:textFill>
        </w:rPr>
        <w:t>202</w:t>
      </w:r>
      <w:r>
        <w:rPr>
          <w:rFonts w:hint="eastAsia" w:ascii="宋体" w:hAnsi="宋体" w:eastAsia="仿宋_GB2312" w:cs="Times New Roman"/>
          <w:color w:val="000000" w:themeColor="text1"/>
          <w:spacing w:val="10"/>
          <w:sz w:val="28"/>
          <w:szCs w:val="28"/>
          <w:lang w:val="en-US" w:eastAsia="zh-CN"/>
          <w14:textFill>
            <w14:solidFill>
              <w14:schemeClr w14:val="tx1"/>
            </w14:solidFill>
          </w14:textFill>
        </w:rPr>
        <w:t>5</w:t>
      </w:r>
      <w:r>
        <w:rPr>
          <w:rFonts w:hint="eastAsia" w:ascii="宋体" w:hAnsi="宋体" w:eastAsia="仿宋_GB2312" w:cs="Times New Roman"/>
          <w:color w:val="000000" w:themeColor="text1"/>
          <w:spacing w:val="10"/>
          <w:sz w:val="28"/>
          <w:szCs w:val="28"/>
          <w14:textFill>
            <w14:solidFill>
              <w14:schemeClr w14:val="tx1"/>
            </w14:solidFill>
          </w14:textFill>
        </w:rPr>
        <w:t>年</w:t>
      </w:r>
      <w:r>
        <w:rPr>
          <w:rFonts w:hint="eastAsia" w:ascii="宋体" w:hAnsi="宋体" w:eastAsia="仿宋_GB2312" w:cs="Times New Roman"/>
          <w:color w:val="000000" w:themeColor="text1"/>
          <w:spacing w:val="10"/>
          <w:sz w:val="28"/>
          <w:szCs w:val="28"/>
          <w:lang w:val="en-US" w:eastAsia="zh-CN"/>
          <w14:textFill>
            <w14:solidFill>
              <w14:schemeClr w14:val="tx1"/>
            </w14:solidFill>
          </w14:textFill>
        </w:rPr>
        <w:t>4</w:t>
      </w:r>
      <w:r>
        <w:rPr>
          <w:rFonts w:hint="eastAsia" w:ascii="宋体" w:hAnsi="宋体" w:eastAsia="仿宋_GB2312" w:cs="Times New Roman"/>
          <w:color w:val="000000" w:themeColor="text1"/>
          <w:spacing w:val="10"/>
          <w:sz w:val="28"/>
          <w:szCs w:val="28"/>
          <w14:textFill>
            <w14:solidFill>
              <w14:schemeClr w14:val="tx1"/>
            </w14:solidFill>
          </w14:textFill>
        </w:rPr>
        <w:t>月</w:t>
      </w:r>
      <w:r>
        <w:rPr>
          <w:rFonts w:hint="eastAsia" w:ascii="宋体" w:hAnsi="宋体" w:eastAsia="仿宋_GB2312" w:cs="Times New Roman"/>
          <w:color w:val="000000" w:themeColor="text1"/>
          <w:spacing w:val="10"/>
          <w:sz w:val="28"/>
          <w:szCs w:val="28"/>
          <w:lang w:val="en-US" w:eastAsia="zh-CN"/>
          <w14:textFill>
            <w14:solidFill>
              <w14:schemeClr w14:val="tx1"/>
            </w14:solidFill>
          </w14:textFill>
        </w:rPr>
        <w:t>18</w:t>
      </w:r>
      <w:r>
        <w:rPr>
          <w:rFonts w:hint="eastAsia" w:ascii="宋体" w:hAnsi="宋体" w:eastAsia="仿宋_GB2312" w:cs="Times New Roman"/>
          <w:color w:val="000000" w:themeColor="text1"/>
          <w:spacing w:val="10"/>
          <w:sz w:val="28"/>
          <w:szCs w:val="28"/>
          <w14:textFill>
            <w14:solidFill>
              <w14:schemeClr w14:val="tx1"/>
            </w14:solidFill>
          </w14:textFill>
        </w:rPr>
        <w:t>日印发</w:t>
      </w:r>
    </w:p>
    <w:p w14:paraId="0FCA3AFE">
      <w:pPr>
        <w:rPr>
          <w:color w:val="000000" w:themeColor="text1"/>
          <w14:textFill>
            <w14:solidFill>
              <w14:schemeClr w14:val="tx1"/>
            </w14:solidFill>
          </w14:textFill>
        </w:rPr>
      </w:pPr>
      <w:r>
        <w:rPr>
          <w:rFonts w:hint="eastAsia" w:ascii="宋体" w:hAnsi="宋体" w:eastAsia="仿宋_GB2312" w:cs="Times New Roman"/>
          <w:color w:val="000000" w:themeColor="text1"/>
          <w:spacing w:val="10"/>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39370</wp:posOffset>
                </wp:positionV>
                <wp:extent cx="5734050" cy="25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254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5pt;margin-top:3.1pt;height:0.2pt;width:451.5pt;z-index:251660288;mso-width-relative:page;mso-height-relative:page;" filled="f" stroked="t" coordsize="21600,21600" o:gfxdata="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Z7HG0wAAAAUBAAAPAAAAAAAAAAEAIAAAACIAAABkcnMvZG93bnJldi54&#10;bWxQSwECFAAUAAAACACHTuJAPj72mP8BAAD2AwAADgAAAAAAAAABACAAAAAiAQAAZHJzL2Uyb0Rv&#10;Yy54bWxQSwUGAAAAAAYABgBZAQAAkwUAAAAA&#10;">
                <v:fill on="f" focussize="0,0"/>
                <v:stroke weight="1.25pt" color="#000000" joinstyle="round"/>
                <v:imagedata o:title=""/>
                <o:lock v:ext="edit" aspectratio="f"/>
              </v:line>
            </w:pict>
          </mc:Fallback>
        </mc:AlternateConten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97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EC0C3">
                          <w:pPr>
                            <w:pStyle w:val="4"/>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B7wSSbPAQAAowMAAA4AAAAAAAAAAQAgAAAAIAEAAGRy&#10;cy9lMm9Eb2MueG1sUEsFBgAAAAAGAAYAWQEAAGEFAAAAAA==&#10;">
              <v:fill on="f" focussize="0,0"/>
              <v:stroke on="f"/>
              <v:imagedata o:title=""/>
              <o:lock v:ext="edit" aspectratio="f"/>
              <v:textbox inset="16pt,0mm,16pt,0mm" style="mso-fit-shape-to-text:t;">
                <w:txbxContent>
                  <w:p w14:paraId="2E7EC0C3">
                    <w:pPr>
                      <w:pStyle w:val="4"/>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zY4ZjIxNTk2Y2FkNjVmNGI5YzNjY2NhZjNiMzMifQ=="/>
    <w:docVar w:name="KSO_WPS_MARK_KEY" w:val="35c1526f-c443-4b27-bdbd-ff4793778571"/>
  </w:docVars>
  <w:rsids>
    <w:rsidRoot w:val="681D7064"/>
    <w:rsid w:val="000D5550"/>
    <w:rsid w:val="006158BE"/>
    <w:rsid w:val="008C5447"/>
    <w:rsid w:val="00A51267"/>
    <w:rsid w:val="00D215C9"/>
    <w:rsid w:val="00D66ED9"/>
    <w:rsid w:val="00F651D9"/>
    <w:rsid w:val="00F677DD"/>
    <w:rsid w:val="00FD2D17"/>
    <w:rsid w:val="0A443443"/>
    <w:rsid w:val="0CBF689E"/>
    <w:rsid w:val="11047FD3"/>
    <w:rsid w:val="12450CB5"/>
    <w:rsid w:val="125A44AF"/>
    <w:rsid w:val="199651CD"/>
    <w:rsid w:val="1E5E0248"/>
    <w:rsid w:val="2AAB6DFA"/>
    <w:rsid w:val="2FE33BBD"/>
    <w:rsid w:val="38513B2E"/>
    <w:rsid w:val="42FE5BF8"/>
    <w:rsid w:val="434473D2"/>
    <w:rsid w:val="45707D62"/>
    <w:rsid w:val="47737835"/>
    <w:rsid w:val="47961EA1"/>
    <w:rsid w:val="4BE73BDE"/>
    <w:rsid w:val="56803E03"/>
    <w:rsid w:val="59486F0E"/>
    <w:rsid w:val="5CF86B15"/>
    <w:rsid w:val="5D6361C4"/>
    <w:rsid w:val="65545C37"/>
    <w:rsid w:val="681D7064"/>
    <w:rsid w:val="69BF0799"/>
    <w:rsid w:val="69F876E6"/>
    <w:rsid w:val="70E82B86"/>
    <w:rsid w:val="7CDC7545"/>
    <w:rsid w:val="7E100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sz w:val="32"/>
    </w:rPr>
  </w:style>
  <w:style w:type="paragraph" w:styleId="3">
    <w:name w:val="Body Text"/>
    <w:basedOn w:val="1"/>
    <w:next w:val="1"/>
    <w:semiHidden/>
    <w:qFormat/>
    <w:uiPriority w:val="0"/>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Calibri" w:hAnsi="Calibri" w:eastAsia="宋体" w:cs="Times New Roman"/>
      <w:kern w:val="2"/>
      <w:sz w:val="18"/>
      <w:szCs w:val="18"/>
    </w:rPr>
  </w:style>
  <w:style w:type="character" w:customStyle="1" w:styleId="13">
    <w:name w:val="页脚 Char"/>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3036</Words>
  <Characters>3148</Characters>
  <Lines>26</Lines>
  <Paragraphs>7</Paragraphs>
  <TotalTime>27</TotalTime>
  <ScaleCrop>false</ScaleCrop>
  <LinksUpToDate>false</LinksUpToDate>
  <CharactersWithSpaces>3198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2024-07-17T06:57:00Z</dcterms:created>
  <dc:creator>景铭</dc:creator>
  <cp:lastModifiedBy>景铭</cp:lastModifiedBy>
  <cp:lastPrinted>2025-04-17T09:09:59Z</cp:lastPrinted>
  <dcterms:modified xsi:type="dcterms:W3CDTF">2025-04-18T01:10:16Z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BB9891A38A6D48CBA8FB8A18AADA9642_13</vt:lpwstr>
  </property>
  <property fmtid="{D5CDD505-2E9C-101B-9397-08002B2CF9AE}" pid="4" name="KSOTemplateDocerSaveRecord">
    <vt:lpwstr>eyJoZGlkIjoiMWM1NTM1N2ZiMWJiMzQ0NDQzOGFjYTc0ZmU3MTNkNjEiLCJ1c2VySWQiOiIxMzQxOTIyMDc0In0=</vt:lpwstr>
  </property>
</Properties>
</file>