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宋体" w:hAnsi="宋体" w:eastAsia="黑体"/>
          <w:color w:val="000000"/>
          <w:szCs w:val="32"/>
        </w:rPr>
      </w:pPr>
    </w:p>
    <w:p>
      <w:pPr>
        <w:adjustRightInd w:val="0"/>
        <w:snapToGrid w:val="0"/>
        <w:spacing w:line="560" w:lineRule="exact"/>
        <w:rPr>
          <w:rFonts w:ascii="宋体" w:hAnsi="宋体"/>
          <w:color w:val="000000"/>
          <w:sz w:val="36"/>
          <w:szCs w:val="36"/>
        </w:rPr>
      </w:pPr>
    </w:p>
    <w:p>
      <w:pPr>
        <w:adjustRightInd w:val="0"/>
        <w:snapToGrid w:val="0"/>
        <w:spacing w:line="560" w:lineRule="exact"/>
        <w:rPr>
          <w:rFonts w:ascii="宋体" w:hAnsi="宋体"/>
          <w:color w:val="000000"/>
          <w:sz w:val="36"/>
          <w:szCs w:val="36"/>
        </w:rPr>
      </w:pPr>
    </w:p>
    <w:p>
      <w:pPr>
        <w:adjustRightInd w:val="0"/>
        <w:snapToGrid w:val="0"/>
        <w:spacing w:line="560" w:lineRule="exact"/>
        <w:rPr>
          <w:rFonts w:ascii="宋体" w:hAnsi="宋体"/>
          <w:color w:val="000000"/>
          <w:sz w:val="36"/>
          <w:szCs w:val="36"/>
        </w:rPr>
      </w:pPr>
    </w:p>
    <w:p>
      <w:pPr>
        <w:adjustRightInd w:val="0"/>
        <w:snapToGrid w:val="0"/>
        <w:spacing w:line="560" w:lineRule="exact"/>
        <w:rPr>
          <w:rFonts w:ascii="宋体" w:hAnsi="宋体"/>
          <w:color w:val="000000"/>
          <w:sz w:val="36"/>
          <w:szCs w:val="36"/>
        </w:rPr>
      </w:pPr>
    </w:p>
    <w:p>
      <w:pPr>
        <w:adjustRightInd w:val="0"/>
        <w:snapToGrid w:val="0"/>
        <w:spacing w:line="560" w:lineRule="exact"/>
        <w:rPr>
          <w:rFonts w:ascii="宋体" w:hAnsi="宋体"/>
          <w:color w:val="000000"/>
          <w:sz w:val="36"/>
          <w:szCs w:val="36"/>
        </w:rPr>
      </w:pPr>
    </w:p>
    <w:p>
      <w:pPr>
        <w:adjustRightInd w:val="0"/>
        <w:snapToGrid w:val="0"/>
        <w:spacing w:line="560" w:lineRule="exact"/>
        <w:rPr>
          <w:rFonts w:ascii="宋体" w:hAnsi="宋体"/>
          <w:color w:val="000000"/>
          <w:sz w:val="36"/>
          <w:szCs w:val="36"/>
        </w:rPr>
      </w:pPr>
    </w:p>
    <w:p>
      <w:pPr>
        <w:adjustRightInd w:val="0"/>
        <w:snapToGrid w:val="0"/>
        <w:spacing w:line="560" w:lineRule="exact"/>
        <w:jc w:val="center"/>
        <w:rPr>
          <w:rFonts w:ascii="宋体" w:hAnsi="宋体" w:eastAsia="方正小标宋_GBK" w:cs="方正小标宋_GBK"/>
          <w:color w:val="000000"/>
          <w:sz w:val="36"/>
          <w:szCs w:val="36"/>
        </w:rPr>
      </w:pPr>
    </w:p>
    <w:p>
      <w:pPr>
        <w:adjustRightInd w:val="0"/>
        <w:snapToGrid w:val="0"/>
        <w:spacing w:line="560" w:lineRule="exact"/>
        <w:jc w:val="center"/>
        <w:rPr>
          <w:rFonts w:ascii="宋体" w:hAnsi="宋体" w:eastAsia="方正小标宋_GBK" w:cs="方正小标宋_GBK"/>
          <w:color w:val="000000"/>
          <w:sz w:val="36"/>
          <w:szCs w:val="36"/>
        </w:rPr>
      </w:pPr>
    </w:p>
    <w:p>
      <w:pPr>
        <w:snapToGrid w:val="0"/>
        <w:spacing w:line="640" w:lineRule="exact"/>
        <w:jc w:val="center"/>
        <w:rPr>
          <w:rFonts w:ascii="宋体" w:hAnsi="宋体" w:eastAsia="方正小标宋简体" w:cs="方正小标宋_GBK"/>
          <w:sz w:val="44"/>
          <w:szCs w:val="44"/>
        </w:rPr>
      </w:pPr>
      <w:r>
        <w:rPr>
          <w:rFonts w:hint="eastAsia" w:ascii="宋体" w:hAnsi="宋体" w:eastAsia="方正小标宋简体" w:cs="方正小标宋_GBK"/>
          <w:sz w:val="44"/>
          <w:szCs w:val="44"/>
        </w:rPr>
        <w:t>龙南市人民政府办公室</w:t>
      </w:r>
    </w:p>
    <w:p>
      <w:pPr>
        <w:snapToGrid w:val="0"/>
        <w:spacing w:line="640" w:lineRule="exact"/>
        <w:jc w:val="center"/>
        <w:rPr>
          <w:rFonts w:ascii="宋体" w:hAnsi="宋体" w:eastAsia="方正小标宋简体" w:cs="方正小标宋_GBK"/>
          <w:sz w:val="44"/>
          <w:szCs w:val="44"/>
        </w:rPr>
      </w:pPr>
      <w:r>
        <w:rPr>
          <w:rFonts w:hint="eastAsia" w:ascii="宋体" w:hAnsi="宋体" w:eastAsia="方正小标宋简体" w:cs="方正小标宋_GBK"/>
          <w:sz w:val="44"/>
          <w:szCs w:val="44"/>
        </w:rPr>
        <w:t>关于印发《龙南市2022年柑橘黄龙病防控</w:t>
      </w:r>
    </w:p>
    <w:p>
      <w:pPr>
        <w:snapToGrid w:val="0"/>
        <w:spacing w:line="640" w:lineRule="exact"/>
        <w:jc w:val="center"/>
        <w:rPr>
          <w:rFonts w:ascii="宋体" w:hAnsi="宋体" w:eastAsia="方正小标宋简体" w:cs="方正小标宋_GBK"/>
          <w:sz w:val="44"/>
          <w:szCs w:val="44"/>
        </w:rPr>
      </w:pPr>
      <w:r>
        <w:rPr>
          <w:rFonts w:hint="eastAsia" w:ascii="宋体" w:hAnsi="宋体" w:eastAsia="方正小标宋简体" w:cs="方正小标宋_GBK"/>
          <w:sz w:val="44"/>
          <w:szCs w:val="44"/>
        </w:rPr>
        <w:t>工作方案》的通知</w:t>
      </w:r>
    </w:p>
    <w:p>
      <w:pPr>
        <w:spacing w:line="560" w:lineRule="exact"/>
        <w:jc w:val="center"/>
        <w:rPr>
          <w:rFonts w:ascii="宋体" w:hAnsi="宋体" w:eastAsia="方正小标宋简体" w:cs="宋体"/>
          <w:sz w:val="36"/>
          <w:szCs w:val="36"/>
        </w:rPr>
      </w:pPr>
    </w:p>
    <w:p>
      <w:pPr>
        <w:snapToGrid w:val="0"/>
        <w:spacing w:line="560" w:lineRule="atLeast"/>
        <w:rPr>
          <w:rFonts w:ascii="宋体" w:hAnsi="宋体" w:eastAsia="仿宋_GB2312"/>
          <w:sz w:val="32"/>
          <w:szCs w:val="32"/>
        </w:rPr>
      </w:pPr>
      <w:r>
        <w:rPr>
          <w:rFonts w:hint="eastAsia" w:ascii="宋体" w:hAnsi="宋体" w:eastAsia="仿宋_GB2312"/>
          <w:sz w:val="32"/>
          <w:szCs w:val="32"/>
        </w:rPr>
        <w:t>各乡镇人民政府，市政府有关部门，市属有关单位：</w:t>
      </w:r>
    </w:p>
    <w:p>
      <w:pPr>
        <w:snapToGrid w:val="0"/>
        <w:spacing w:line="560" w:lineRule="atLeast"/>
        <w:ind w:firstLine="640" w:firstLineChars="200"/>
        <w:rPr>
          <w:rFonts w:ascii="宋体" w:hAnsi="宋体" w:eastAsia="仿宋_GB2312"/>
          <w:sz w:val="32"/>
          <w:szCs w:val="32"/>
        </w:rPr>
      </w:pPr>
      <w:r>
        <w:rPr>
          <w:rFonts w:hint="eastAsia" w:ascii="宋体" w:hAnsi="宋体" w:eastAsia="仿宋_GB2312"/>
          <w:sz w:val="32"/>
          <w:szCs w:val="32"/>
        </w:rPr>
        <w:t>经市政府同意，现将《龙南市2022年柑橘黄龙病防控工作方案》印发给你们，请结合实际，认真抓好贯彻落实。</w:t>
      </w:r>
    </w:p>
    <w:p>
      <w:pPr>
        <w:snapToGrid w:val="0"/>
        <w:spacing w:line="560" w:lineRule="atLeast"/>
        <w:rPr>
          <w:rFonts w:ascii="宋体" w:hAnsi="宋体" w:eastAsia="仿宋_GB2312"/>
          <w:sz w:val="32"/>
          <w:szCs w:val="32"/>
        </w:rPr>
      </w:pPr>
    </w:p>
    <w:p>
      <w:pPr>
        <w:snapToGrid w:val="0"/>
        <w:spacing w:line="560" w:lineRule="atLeast"/>
        <w:rPr>
          <w:rFonts w:ascii="宋体" w:hAnsi="宋体" w:eastAsia="仿宋_GB2312"/>
          <w:sz w:val="32"/>
          <w:szCs w:val="32"/>
        </w:rPr>
      </w:pPr>
    </w:p>
    <w:p>
      <w:pPr>
        <w:tabs>
          <w:tab w:val="left" w:pos="7560"/>
          <w:tab w:val="left" w:pos="7920"/>
        </w:tabs>
        <w:snapToGrid w:val="0"/>
        <w:spacing w:line="560" w:lineRule="atLeast"/>
        <w:ind w:firstLine="640" w:firstLineChars="200"/>
        <w:rPr>
          <w:rFonts w:ascii="宋体" w:hAnsi="宋体" w:eastAsia="仿宋_GB2312"/>
          <w:sz w:val="32"/>
          <w:szCs w:val="32"/>
        </w:rPr>
      </w:pPr>
      <w:r>
        <w:rPr>
          <w:rFonts w:hint="eastAsia" w:ascii="宋体" w:hAnsi="宋体" w:eastAsia="仿宋_GB2312"/>
          <w:sz w:val="32"/>
          <w:szCs w:val="32"/>
        </w:rPr>
        <w:t xml:space="preserve">                            2022年3月日</w:t>
      </w:r>
    </w:p>
    <w:p>
      <w:pPr>
        <w:tabs>
          <w:tab w:val="left" w:pos="7560"/>
          <w:tab w:val="left" w:pos="7920"/>
        </w:tabs>
        <w:snapToGrid w:val="0"/>
        <w:spacing w:line="560" w:lineRule="atLeast"/>
        <w:ind w:firstLine="640" w:firstLineChars="200"/>
        <w:rPr>
          <w:rFonts w:ascii="宋体" w:hAnsi="宋体" w:eastAsia="仿宋_GB2312"/>
          <w:sz w:val="32"/>
          <w:szCs w:val="32"/>
        </w:rPr>
      </w:pPr>
    </w:p>
    <w:p>
      <w:pPr>
        <w:tabs>
          <w:tab w:val="left" w:pos="7560"/>
          <w:tab w:val="left" w:pos="7920"/>
        </w:tabs>
        <w:snapToGrid w:val="0"/>
        <w:spacing w:line="560" w:lineRule="atLeast"/>
        <w:ind w:firstLine="640" w:firstLineChars="200"/>
        <w:rPr>
          <w:rFonts w:ascii="宋体" w:hAnsi="宋体" w:eastAsia="仿宋_GB2312"/>
          <w:sz w:val="32"/>
          <w:szCs w:val="32"/>
        </w:rPr>
      </w:pPr>
    </w:p>
    <w:p>
      <w:pPr>
        <w:pStyle w:val="2"/>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龙南市2022年柑橘黄龙病防控工作方案</w:t>
      </w:r>
    </w:p>
    <w:p>
      <w:pPr>
        <w:spacing w:line="640" w:lineRule="exact"/>
        <w:rPr>
          <w:rFonts w:ascii="仿宋_GB2312" w:hAnsi="仿宋_GB2312" w:eastAsia="仿宋_GB2312" w:cs="仿宋_GB2312"/>
          <w:sz w:val="32"/>
          <w:szCs w:val="32"/>
        </w:rPr>
      </w:pP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为进一步巩固柑橘黄龙病防控工作成果，防止疫情反弹，确保龙南脐橙产业安全持续健康发展，特制定本方案。</w:t>
      </w:r>
    </w:p>
    <w:p>
      <w:p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一、工作目标</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预防为主、综合防控”的原则，按照“彻底清除病株、及时防除木虱、杜绝带病种苗、建立防控机制”的总要求，以“控传播、保产业、增效益、促发展”为目标，2022年全市实行“突出重点、分类防控”策略，持续推进柑橘黄龙病防控工作。全市柑橘果园病树清理达100%，彻底清除失管果园，正常管理果园柑橘木虱常年控制在1头/100株以下，全市果园平均病株率控制在3%以下。</w:t>
      </w:r>
    </w:p>
    <w:p>
      <w:p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二、工作措施</w:t>
      </w:r>
    </w:p>
    <w:p>
      <w:pPr>
        <w:spacing w:line="64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1.加大宣传培训力度，加强病虫监测。</w:t>
      </w:r>
      <w:r>
        <w:rPr>
          <w:rFonts w:hint="eastAsia" w:ascii="仿宋_GB2312" w:hAnsi="仿宋_GB2312" w:eastAsia="仿宋_GB2312" w:cs="仿宋_GB2312"/>
          <w:sz w:val="32"/>
          <w:szCs w:val="32"/>
        </w:rPr>
        <w:t>把黄龙病防控工作宣传和技术培训作为最基础、最重要的防控措施来抓。市果茶发展服务中心和各乡镇要充分利用各种载体、网络平台、微信等形式，加强柑橘黄龙病防控工作宣传培训，尤其要加强近年新发展的种植户、脱贫户、小散户的培训，每位新果农一年内至少参加培训1次以上，确保全市新果农培训全覆盖。重点培训以提高果农幼龄树黄龙病症状识别、病树的规范清除、柑橘木虱高效防治、网棚假植大苗补种和联防联控等为主的综合防控技术，特别要注重基地、果园现场防控实践培训，防止培训流于形式，或以农资经销商产品推广会代替果农技术培训等问题。</w:t>
      </w:r>
    </w:p>
    <w:p>
      <w:pPr>
        <w:spacing w:line="64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2.加大病树普查与清理力度,确保病情有效控制。</w:t>
      </w:r>
      <w:r>
        <w:rPr>
          <w:rFonts w:hint="eastAsia" w:ascii="仿宋_GB2312" w:hAnsi="仿宋_GB2312" w:eastAsia="仿宋_GB2312" w:cs="仿宋_GB2312"/>
          <w:sz w:val="32"/>
          <w:szCs w:val="32"/>
        </w:rPr>
        <w:t>各乡镇要紧紧围绕砍除病树、控制传播的目标，认真分析防控形势，摸清病树底数，积极动员果农科学规范砍除病树；要继续组织部署好2022年度病树普查清理工作，在9-12月病树识别关键期，要组织开展病树集中普查清理专项行动，对辖区内柑橘类果园按照“乡镇不漏村、村不漏组、组不漏园、逐行逐株”的要求开展病树普查。对病树予以标识并建立台账，确保辖区内所有柑橘普查登记到位且病树识别精准无误。在柑橘果树采果并喷药后，对标识的黄龙病病树按照“五步工作法”（一砍、二划、三涂药、四包扎、五覆土）逐株、逐行、逐园规范彻底清除到位，确保病树处理“不留桩、不露桩、不发芽、不传病”。</w:t>
      </w:r>
    </w:p>
    <w:p>
      <w:pPr>
        <w:spacing w:line="6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3.分类防控分类管理。</w:t>
      </w:r>
    </w:p>
    <w:p>
      <w:pPr>
        <w:spacing w:line="6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（1）加快失管果园清理。</w:t>
      </w:r>
      <w:r>
        <w:rPr>
          <w:rFonts w:hint="eastAsia" w:ascii="仿宋_GB2312" w:hAnsi="仿宋_GB2312" w:eastAsia="仿宋_GB2312" w:cs="仿宋_GB2312"/>
          <w:sz w:val="32"/>
          <w:szCs w:val="32"/>
        </w:rPr>
        <w:t>失管果园是当前柑橘黄龙病主要传播源，是当前黄龙病防控重点，各乡镇要高度重视，认真部署，要对辖区内所有果园经营管理状况进行一次彻底的排查，对排查出的失管果园，建立台账，采取切实有效措施进行清理；对待征地区域内和已征收的失管果园各乡镇要深入调研，掌握失管原因，针对性采取措施彻底清理;对难以清理的失管果园，要组织专业队进行统一清除；同时加大门前屋后零星柑橘病树的清理力度，最大限度消灭传播源。</w:t>
      </w:r>
    </w:p>
    <w:p>
      <w:pPr>
        <w:spacing w:line="6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（2）抓好6年以下的幼龄果园防控。</w:t>
      </w:r>
      <w:r>
        <w:rPr>
          <w:rFonts w:hint="eastAsia" w:ascii="仿宋_GB2312" w:hAnsi="仿宋_GB2312" w:eastAsia="仿宋_GB2312" w:cs="仿宋_GB2312"/>
          <w:sz w:val="32"/>
          <w:szCs w:val="32"/>
        </w:rPr>
        <w:t>幼龄果园普遍存在结果前病树枝梢、叶片症状不认识、病树不清理、柑橘木虱防治不到位等突出问题。各乡镇要做好幼龄果园果农培训工作，使其掌握幼龄树枝梢叶片黄龙病症状的识别及黄龙病防控技术。同时要按照病树普查与清理要求，在9-12月部署组织专业队伍逐园、逐株对幼龄果园开展全面病树普查，标识病对、建立台账。对普查出的病树动员果农主动砍除，对不主动砍除的要组织病树清理专业队进行砍除，确保幼龄果园病树清除到位。</w:t>
      </w:r>
    </w:p>
    <w:p>
      <w:pPr>
        <w:spacing w:line="6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（3）抓好集中连片果园的区域联防联控工作。</w:t>
      </w:r>
      <w:r>
        <w:rPr>
          <w:rFonts w:hint="eastAsia" w:ascii="仿宋_GB2312" w:hAnsi="仿宋_GB2312" w:eastAsia="仿宋_GB2312" w:cs="仿宋_GB2312"/>
          <w:sz w:val="32"/>
          <w:szCs w:val="32"/>
        </w:rPr>
        <w:t>各乡镇要把种植户数较多、连片规模500亩以上的区域列为重点防控区，引导该区域的果农组建柑橘黄龙病联防联控组织，制定防控村规民约，在联防区域内统一思想、统一时间、统一措施开展柑橘木虱与黄龙病的联防联控和统防统治，所有规模区域建立联防联控机制。同时开展常态化病树清理，发现病树及时砍除。有条件的区域要引导果农种植杉树隔离带，减少园间病情传播。对病株率大于5%的重病区域，要制定区域防控专项工作方案。</w:t>
      </w:r>
    </w:p>
    <w:p>
      <w:pPr>
        <w:spacing w:line="6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（4）抓好成年果园常态化防控。</w:t>
      </w:r>
      <w:r>
        <w:rPr>
          <w:rFonts w:hint="eastAsia" w:ascii="仿宋_GB2312" w:hAnsi="仿宋_GB2312" w:eastAsia="仿宋_GB2312" w:cs="仿宋_GB2312"/>
          <w:sz w:val="32"/>
          <w:szCs w:val="32"/>
        </w:rPr>
        <w:t>对正常管理的成年果园，要充分发挥农民果技员的指导和果农主动防控作用，以自主常态化防控为主。</w:t>
      </w:r>
    </w:p>
    <w:p>
      <w:pPr>
        <w:spacing w:line="6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4.科学防控减少农药使用量。</w:t>
      </w:r>
    </w:p>
    <w:p>
      <w:pPr>
        <w:spacing w:line="6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（1）进一步加强病虫监测。</w:t>
      </w:r>
      <w:r>
        <w:rPr>
          <w:rFonts w:hint="eastAsia" w:ascii="仿宋_GB2312" w:hAnsi="仿宋_GB2312" w:eastAsia="仿宋_GB2312" w:cs="仿宋_GB2312"/>
          <w:sz w:val="32"/>
          <w:szCs w:val="32"/>
        </w:rPr>
        <w:t>切实做好柑橘黄龙病和木虱的监测工作，建设和完善好现有柑橘病虫监测点，安排专人定点、定期监测柑橘黄龙病、柑橘木虱等重大危险性病虫动态，及时发布病虫预警预报，为柑橘黄龙病和木虱精准防控提供科学依据。</w:t>
      </w:r>
    </w:p>
    <w:p>
      <w:pPr>
        <w:spacing w:line="6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（2）精准高效防杀柑橘木虱。</w:t>
      </w:r>
      <w:r>
        <w:rPr>
          <w:rFonts w:hint="eastAsia" w:ascii="仿宋_GB2312" w:hAnsi="仿宋_GB2312" w:eastAsia="仿宋_GB2312" w:cs="仿宋_GB2312"/>
          <w:sz w:val="32"/>
          <w:szCs w:val="32"/>
        </w:rPr>
        <w:t xml:space="preserve">根据柑橘木虱发生规律和监测动态，重点抓住冬季、早春和夏梢、秋梢、晚秋梢嫩芽期“五个关键期”，选择高效农药，科学精准防杀柑橘木虱，避免果农盲目打药、打保险药，减少果园农药防治次数和农药使用量。   </w:t>
      </w:r>
    </w:p>
    <w:p>
      <w:pPr>
        <w:spacing w:line="6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（3）抓好柑橘黄龙病防控示范基地建设。</w:t>
      </w:r>
      <w:r>
        <w:rPr>
          <w:rFonts w:hint="eastAsia" w:ascii="仿宋_GB2312" w:hAnsi="仿宋_GB2312" w:eastAsia="仿宋_GB2312" w:cs="仿宋_GB2312"/>
          <w:sz w:val="32"/>
          <w:szCs w:val="32"/>
        </w:rPr>
        <w:t>要继续加大柑橘黄龙病防控示范基地建设力度，力求示范基地辐射所有柑橘基地。重点推广以“周年普查清理病树，抹芽控稍和种无病苗为基础，抓关键期应用高效组合药剂防治柑橘木虱、网棚假植安全大苗补种和区域性联防联控为重点，种防护林构建生态隔离带为补充”的综合防控措施，确保黄龙病防控示范基地内病株率控制在1%以内，充分发挥其示范引领作用。</w:t>
      </w:r>
    </w:p>
    <w:p>
      <w:pPr>
        <w:spacing w:line="6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（4）打击“治疗”黄龙病行为。</w:t>
      </w:r>
      <w:r>
        <w:rPr>
          <w:rFonts w:hint="eastAsia" w:ascii="仿宋_GB2312" w:hAnsi="仿宋_GB2312" w:eastAsia="仿宋_GB2312" w:cs="仿宋_GB2312"/>
          <w:sz w:val="32"/>
          <w:szCs w:val="32"/>
        </w:rPr>
        <w:t>柑橘黄龙病仍是“可防可控、不可治”的病害，各乡镇要坚决打击和制止各种树体打针注射抗生素和施用不明药剂、肥料“治疗”病树的行为，规范防控技术措施。</w:t>
      </w:r>
    </w:p>
    <w:p>
      <w:pPr>
        <w:spacing w:line="640" w:lineRule="exact"/>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5.加大柑橘木虱防治与病虫监测力度。</w:t>
      </w:r>
    </w:p>
    <w:p>
      <w:pPr>
        <w:spacing w:line="6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（1）进一步加大防治力度。</w:t>
      </w:r>
      <w:r>
        <w:rPr>
          <w:rFonts w:hint="eastAsia" w:ascii="仿宋_GB2312" w:hAnsi="仿宋_GB2312" w:eastAsia="仿宋_GB2312" w:cs="仿宋_GB2312"/>
          <w:sz w:val="32"/>
          <w:szCs w:val="32"/>
        </w:rPr>
        <w:t>各乡镇要把柑橘木虱列为当前最危险害虫，进一步加大防治力度，在7-10月柑橘木虱发生高峰期，及时派出技术人员指导果农开展统防统治，精准防杀柑橘木虱。</w:t>
      </w:r>
    </w:p>
    <w:p>
      <w:pPr>
        <w:spacing w:line="6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（2）充分发挥农民果技员作用。</w:t>
      </w:r>
      <w:r>
        <w:rPr>
          <w:rFonts w:hint="eastAsia" w:ascii="仿宋_GB2312" w:hAnsi="仿宋_GB2312" w:eastAsia="仿宋_GB2312" w:cs="仿宋_GB2312"/>
          <w:sz w:val="32"/>
          <w:szCs w:val="32"/>
        </w:rPr>
        <w:t>进一步巩固和完善农民果技员的聘用、管理、考核机制，把聘用农民果技员作为完善果业技术体系的重要措施来抓，切实解决果技队伍紧缺，特别是乡镇、村(基地)基层果技人员严重不足的问题。</w:t>
      </w:r>
    </w:p>
    <w:p>
      <w:pPr>
        <w:spacing w:line="6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（3）加大病虫监测力度。</w:t>
      </w:r>
      <w:r>
        <w:rPr>
          <w:rFonts w:hint="eastAsia" w:ascii="仿宋_GB2312" w:hAnsi="仿宋_GB2312" w:eastAsia="仿宋_GB2312" w:cs="仿宋_GB2312"/>
          <w:sz w:val="32"/>
          <w:szCs w:val="32"/>
        </w:rPr>
        <w:t>加强市级柑橘危险性病虫监测点的管理，监测点要有专业的监测人员和必要的监测设施，按照全市统一的时间节点要求，规范监测上报柑橘木虱、柑橘黄龙病等重大危险性病虫害发生动态。通过监测数据掌握柑橘木虱和黄龙病发生趋势，准确发布病虫预报，切实提高疫情预警能力。市果茶部门要跟踪监测情况对数据不实、不规范的监测点发出警告，及时调整变更。</w:t>
      </w:r>
    </w:p>
    <w:p>
      <w:p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三、工作安排</w:t>
      </w:r>
    </w:p>
    <w:p>
      <w:pPr>
        <w:spacing w:line="64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1.技术培训。</w:t>
      </w:r>
      <w:r>
        <w:rPr>
          <w:rFonts w:hint="eastAsia" w:ascii="仿宋_GB2312" w:hAnsi="仿宋_GB2312" w:eastAsia="仿宋_GB2312" w:cs="仿宋_GB2312"/>
          <w:sz w:val="32"/>
          <w:szCs w:val="32"/>
        </w:rPr>
        <w:t>各乡镇、市果茶发展服务中心、市融媒体中心等部门要加强柑橘黄龙病防控技术培训和宣传，要确保辖区内新果农一年内至少参加培训1次以上，并及时向市果茶发展服务中心报送培训图片和培训人员名单。</w:t>
      </w:r>
    </w:p>
    <w:p>
      <w:pPr>
        <w:spacing w:line="64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2.失管果园排查和清理。</w:t>
      </w:r>
      <w:r>
        <w:rPr>
          <w:rFonts w:hint="eastAsia" w:ascii="仿宋_GB2312" w:hAnsi="仿宋_GB2312" w:eastAsia="仿宋_GB2312" w:cs="仿宋_GB2312"/>
          <w:sz w:val="32"/>
          <w:szCs w:val="32"/>
        </w:rPr>
        <w:t>定期对辖区内的果园经营管理情况进行排查清理，每季度底向市果茶发展中心报送《龙南市柑橘失管果园普查清除登记表》（见附件1）。</w:t>
      </w:r>
    </w:p>
    <w:p>
      <w:pPr>
        <w:spacing w:line="64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3.病树普查和清理。</w:t>
      </w:r>
      <w:r>
        <w:rPr>
          <w:rFonts w:hint="eastAsia" w:ascii="仿宋_GB2312" w:hAnsi="仿宋_GB2312" w:eastAsia="仿宋_GB2312" w:cs="仿宋_GB2312"/>
          <w:sz w:val="32"/>
          <w:szCs w:val="32"/>
        </w:rPr>
        <w:t>9-12月为病树识别关键期，各乡镇要按照分类管理的要求组织开展病树集中清理专项行动，自2022年10月1日起至2022年12月31日止，各乡镇每周四下午下班前向市果茶发展服务中心报送《龙南市柑橘黄龙病普查清除登记表（集中连片园）》《龙南市柑橘黄龙病普查清除登记表（非集中连片园）》（见附件2、3）。</w:t>
      </w:r>
    </w:p>
    <w:p>
      <w:p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四、保障措施</w:t>
      </w:r>
    </w:p>
    <w:p>
      <w:pPr>
        <w:spacing w:line="64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1.加强组织领导。</w:t>
      </w:r>
      <w:r>
        <w:rPr>
          <w:rFonts w:hint="eastAsia" w:ascii="仿宋_GB2312" w:hAnsi="仿宋_GB2312" w:eastAsia="仿宋_GB2312" w:cs="仿宋_GB2312"/>
          <w:sz w:val="32"/>
          <w:szCs w:val="32"/>
        </w:rPr>
        <w:t>各乡镇要成立政府主要领导任组长的防控工作小组，认真履行属地管理责任制，落实一把手负责制，分管领导要具体抓，层层压实责任，切实抓好各项防控工作的部署和实施，全面推进柑橘黄龙病防控工作，确保2022年防控工作取得新成效。</w:t>
      </w:r>
    </w:p>
    <w:p>
      <w:pPr>
        <w:spacing w:line="64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2.加大资金投入。</w:t>
      </w:r>
      <w:r>
        <w:rPr>
          <w:rFonts w:hint="eastAsia" w:ascii="仿宋_GB2312" w:hAnsi="仿宋_GB2312" w:eastAsia="仿宋_GB2312" w:cs="仿宋_GB2312"/>
          <w:sz w:val="32"/>
          <w:szCs w:val="32"/>
        </w:rPr>
        <w:t>市财政要继续按照赣市府办字〔2018〕2号文件要求，足额安排2022年度柑橘黄龙病防控专项资金和果业产业发展资金，重点用于病树普查清理、失管果园清除、疫情监测、防控示范基地及基层技术服务体系建设、健康种苗、标准化生态果园和宣传培训等补贴。</w:t>
      </w:r>
    </w:p>
    <w:p>
      <w:pPr>
        <w:pStyle w:val="6"/>
        <w:widowControl w:val="0"/>
        <w:spacing w:line="640" w:lineRule="exact"/>
        <w:ind w:firstLine="803" w:firstLineChars="250"/>
        <w:rPr>
          <w:rFonts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rPr>
        <w:t>3.强化调度考核。</w:t>
      </w:r>
      <w:r>
        <w:rPr>
          <w:rFonts w:hint="eastAsia" w:ascii="仿宋_GB2312" w:hAnsi="仿宋_GB2312" w:eastAsia="仿宋_GB2312" w:cs="仿宋_GB2312"/>
          <w:sz w:val="32"/>
          <w:szCs w:val="32"/>
        </w:rPr>
        <w:t>为确保全市柑橘黄龙病防控各项工作落到实处，继续把柑橘黄龙病防控工作列入全市高质量发展和乡村振兴考核内容，重点考核防控工作组织实施、病树普查清理、幼龄果园防控、失管果园清除、木虱防治成效、防控示范基地建设和技术培训等工作。</w:t>
      </w:r>
    </w:p>
    <w:p>
      <w:pPr>
        <w:pStyle w:val="6"/>
        <w:widowControl w:val="0"/>
        <w:spacing w:line="6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附件：1.龙南市柑橘失管果园普查清除登记表</w:t>
      </w:r>
    </w:p>
    <w:p>
      <w:pPr>
        <w:pStyle w:val="6"/>
        <w:widowControl w:val="0"/>
        <w:spacing w:line="640" w:lineRule="exact"/>
        <w:ind w:firstLine="1600" w:firstLineChars="5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2.龙南市柑橘黄龙病普查清除登记表（</w:t>
      </w:r>
      <w:r>
        <w:rPr>
          <w:rFonts w:hint="eastAsia" w:ascii="仿宋_GB2312" w:hAnsi="仿宋_GB2312" w:eastAsia="仿宋_GB2312" w:cs="仿宋_GB2312"/>
          <w:sz w:val="32"/>
          <w:szCs w:val="32"/>
        </w:rPr>
        <w:t>集中连片园）</w:t>
      </w:r>
    </w:p>
    <w:p>
      <w:pPr>
        <w:spacing w:line="640" w:lineRule="exact"/>
        <w:rPr>
          <w:rFonts w:ascii="宋体" w:hAnsi="宋体"/>
          <w:spacing w:val="-11"/>
          <w:sz w:val="32"/>
          <w:szCs w:val="32"/>
        </w:rPr>
      </w:pPr>
      <w:r>
        <w:rPr>
          <w:rFonts w:hint="eastAsia" w:ascii="宋体" w:hAnsi="宋体" w:eastAsia="仿宋_GB2312"/>
          <w:sz w:val="32"/>
          <w:szCs w:val="32"/>
        </w:rPr>
        <w:t xml:space="preserve">        </w:t>
      </w:r>
      <w:r>
        <w:rPr>
          <w:rFonts w:hint="eastAsia" w:ascii="宋体" w:hAnsi="宋体" w:eastAsia="仿宋_GB2312"/>
          <w:sz w:val="32"/>
          <w:szCs w:val="32"/>
          <w:lang w:val="en-US" w:eastAsia="zh-CN"/>
        </w:rPr>
        <w:t xml:space="preserve"> </w:t>
      </w:r>
      <w:r>
        <w:rPr>
          <w:rFonts w:hint="eastAsia" w:ascii="宋体" w:hAnsi="宋体" w:eastAsia="仿宋_GB2312"/>
          <w:sz w:val="32"/>
          <w:szCs w:val="32"/>
        </w:rPr>
        <w:t xml:space="preserve"> 3</w:t>
      </w:r>
      <w:r>
        <w:rPr>
          <w:rFonts w:hint="eastAsia" w:ascii="仿宋_GB2312" w:hAnsi="仿宋_GB2312" w:eastAsia="仿宋_GB2312" w:cs="仿宋_GB2312"/>
          <w:sz w:val="32"/>
          <w:szCs w:val="32"/>
        </w:rPr>
        <w:t>.</w:t>
      </w:r>
      <w:r>
        <w:rPr>
          <w:rFonts w:hint="eastAsia" w:ascii="仿宋_GB2312" w:hAnsi="仿宋_GB2312" w:eastAsia="仿宋_GB2312" w:cs="仿宋_GB2312"/>
          <w:spacing w:val="-11"/>
          <w:sz w:val="32"/>
          <w:szCs w:val="32"/>
        </w:rPr>
        <w:t>龙南市柑橘黄龙病普查清除登记表（非集中连片园）</w:t>
      </w:r>
    </w:p>
    <w:p>
      <w:pPr>
        <w:spacing w:line="640" w:lineRule="exact"/>
        <w:rPr>
          <w:spacing w:val="-11"/>
        </w:rPr>
        <w:sectPr>
          <w:footerReference r:id="rId3" w:type="default"/>
          <w:footerReference r:id="rId4" w:type="even"/>
          <w:pgSz w:w="11906" w:h="16838"/>
          <w:pgMar w:top="2098" w:right="1588" w:bottom="2098" w:left="1588" w:header="2098" w:footer="1701" w:gutter="0"/>
          <w:cols w:space="720" w:num="1"/>
          <w:docGrid w:type="lines" w:linePitch="312" w:charSpace="0"/>
        </w:sect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bookmarkStart w:id="0" w:name="_GoBack"/>
      <w:bookmarkEnd w:id="0"/>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龙南市柑橘失管果园普查清除登记表</w:t>
      </w:r>
    </w:p>
    <w:p>
      <w:pPr>
        <w:rPr>
          <w:rFonts w:ascii="方正小标宋简体" w:hAnsi="方正小标宋简体" w:eastAsia="方正小标宋简体" w:cs="方正小标宋简体"/>
          <w:sz w:val="44"/>
          <w:szCs w:val="44"/>
        </w:rPr>
      </w:pPr>
      <w:r>
        <w:rPr>
          <w:rFonts w:hint="eastAsia" w:ascii="仿宋_GB2312" w:hAnsi="仿宋_GB2312" w:eastAsia="仿宋_GB2312" w:cs="仿宋_GB2312"/>
          <w:sz w:val="24"/>
        </w:rPr>
        <w:t>乡镇（盖章）：         填报人：         分管领导签字：       政府主要领导签字：     填报日期：2022年  月  日</w:t>
      </w:r>
    </w:p>
    <w:tbl>
      <w:tblPr>
        <w:tblStyle w:val="7"/>
        <w:tblW w:w="13682" w:type="dxa"/>
        <w:tblInd w:w="91" w:type="dxa"/>
        <w:tblLayout w:type="fixed"/>
        <w:tblCellMar>
          <w:top w:w="0" w:type="dxa"/>
          <w:left w:w="108" w:type="dxa"/>
          <w:bottom w:w="0" w:type="dxa"/>
          <w:right w:w="108" w:type="dxa"/>
        </w:tblCellMar>
      </w:tblPr>
      <w:tblGrid>
        <w:gridCol w:w="749"/>
        <w:gridCol w:w="796"/>
        <w:gridCol w:w="1440"/>
        <w:gridCol w:w="2102"/>
        <w:gridCol w:w="1875"/>
        <w:gridCol w:w="2310"/>
        <w:gridCol w:w="990"/>
        <w:gridCol w:w="1125"/>
        <w:gridCol w:w="945"/>
        <w:gridCol w:w="1350"/>
      </w:tblGrid>
      <w:tr>
        <w:tblPrEx>
          <w:tblCellMar>
            <w:top w:w="0" w:type="dxa"/>
            <w:left w:w="108" w:type="dxa"/>
            <w:bottom w:w="0" w:type="dxa"/>
            <w:right w:w="108" w:type="dxa"/>
          </w:tblCellMar>
        </w:tblPrEx>
        <w:trPr>
          <w:trHeight w:val="420" w:hRule="atLeast"/>
        </w:trPr>
        <w:tc>
          <w:tcPr>
            <w:tcW w:w="74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序号</w:t>
            </w:r>
          </w:p>
        </w:tc>
        <w:tc>
          <w:tcPr>
            <w:tcW w:w="79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村组</w:t>
            </w:r>
          </w:p>
        </w:tc>
        <w:tc>
          <w:tcPr>
            <w:tcW w:w="14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果园主姓名</w:t>
            </w:r>
          </w:p>
        </w:tc>
        <w:tc>
          <w:tcPr>
            <w:tcW w:w="210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身份证号</w:t>
            </w:r>
          </w:p>
        </w:tc>
        <w:tc>
          <w:tcPr>
            <w:tcW w:w="187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电话号码</w:t>
            </w:r>
          </w:p>
        </w:tc>
        <w:tc>
          <w:tcPr>
            <w:tcW w:w="231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果园地点</w:t>
            </w:r>
          </w:p>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（村、小地名）</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品种</w:t>
            </w:r>
          </w:p>
        </w:tc>
        <w:tc>
          <w:tcPr>
            <w:tcW w:w="11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果园面积（亩）</w:t>
            </w:r>
          </w:p>
        </w:tc>
        <w:tc>
          <w:tcPr>
            <w:tcW w:w="94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总株数（株）</w:t>
            </w:r>
          </w:p>
        </w:tc>
        <w:tc>
          <w:tcPr>
            <w:tcW w:w="13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清除病株数（株）</w:t>
            </w:r>
          </w:p>
        </w:tc>
      </w:tr>
      <w:tr>
        <w:tblPrEx>
          <w:tblCellMar>
            <w:top w:w="0" w:type="dxa"/>
            <w:left w:w="108" w:type="dxa"/>
            <w:bottom w:w="0" w:type="dxa"/>
            <w:right w:w="108" w:type="dxa"/>
          </w:tblCellMar>
        </w:tblPrEx>
        <w:trPr>
          <w:trHeight w:val="312" w:hRule="atLeast"/>
        </w:trPr>
        <w:tc>
          <w:tcPr>
            <w:tcW w:w="74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7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14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21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18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23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11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r>
      <w:tr>
        <w:tblPrEx>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r>
      <w:tr>
        <w:tblPrEx>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r>
      <w:tr>
        <w:tblPrEx>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r>
      <w:tr>
        <w:tblPrEx>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r>
      <w:tr>
        <w:tblPrEx>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r>
      <w:tr>
        <w:tblPrEx>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r>
      <w:tr>
        <w:tblPrEx>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r>
      <w:tr>
        <w:tblPrEx>
          <w:tblCellMar>
            <w:top w:w="0" w:type="dxa"/>
            <w:left w:w="108" w:type="dxa"/>
            <w:bottom w:w="0" w:type="dxa"/>
            <w:right w:w="108" w:type="dxa"/>
          </w:tblCellMar>
        </w:tblPrEx>
        <w:trPr>
          <w:trHeight w:val="567"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r>
    </w:tbl>
    <w:p>
      <w:pPr>
        <w:spacing w:line="20" w:lineRule="exact"/>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龙南市柑橘黄龙病普查清除登记表（集中连片园）</w:t>
      </w:r>
    </w:p>
    <w:p>
      <w:pPr>
        <w:rPr>
          <w:rFonts w:ascii="仿宋_GB2312" w:hAnsi="仿宋_GB2312" w:eastAsia="仿宋_GB2312" w:cs="仿宋_GB2312"/>
          <w:sz w:val="24"/>
        </w:rPr>
      </w:pPr>
      <w:r>
        <w:rPr>
          <w:rFonts w:hint="eastAsia" w:ascii="仿宋_GB2312" w:hAnsi="仿宋_GB2312" w:eastAsia="仿宋_GB2312" w:cs="仿宋_GB2312"/>
          <w:sz w:val="24"/>
        </w:rPr>
        <w:t>乡镇（盖章）：         填报人：         分管领导签字：       政府主要领导签字：     填报日期：2022年  月  日</w:t>
      </w:r>
    </w:p>
    <w:tbl>
      <w:tblPr>
        <w:tblStyle w:val="7"/>
        <w:tblW w:w="13712" w:type="dxa"/>
        <w:tblInd w:w="91" w:type="dxa"/>
        <w:tblLayout w:type="fixed"/>
        <w:tblCellMar>
          <w:top w:w="0" w:type="dxa"/>
          <w:left w:w="108" w:type="dxa"/>
          <w:bottom w:w="0" w:type="dxa"/>
          <w:right w:w="108" w:type="dxa"/>
        </w:tblCellMar>
      </w:tblPr>
      <w:tblGrid>
        <w:gridCol w:w="719"/>
        <w:gridCol w:w="901"/>
        <w:gridCol w:w="1091"/>
        <w:gridCol w:w="992"/>
        <w:gridCol w:w="2344"/>
        <w:gridCol w:w="1560"/>
        <w:gridCol w:w="945"/>
        <w:gridCol w:w="750"/>
        <w:gridCol w:w="825"/>
        <w:gridCol w:w="915"/>
        <w:gridCol w:w="1335"/>
        <w:gridCol w:w="1335"/>
      </w:tblGrid>
      <w:tr>
        <w:tblPrEx>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序号</w:t>
            </w:r>
          </w:p>
        </w:tc>
        <w:tc>
          <w:tcPr>
            <w:tcW w:w="90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村别</w:t>
            </w:r>
          </w:p>
        </w:tc>
        <w:tc>
          <w:tcPr>
            <w:tcW w:w="109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基地名称</w:t>
            </w:r>
          </w:p>
        </w:tc>
        <w:tc>
          <w:tcPr>
            <w:tcW w:w="99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果园主姓名</w:t>
            </w:r>
          </w:p>
        </w:tc>
        <w:tc>
          <w:tcPr>
            <w:tcW w:w="234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身份证号</w:t>
            </w:r>
          </w:p>
        </w:tc>
        <w:tc>
          <w:tcPr>
            <w:tcW w:w="156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电话号码</w:t>
            </w:r>
          </w:p>
        </w:tc>
        <w:tc>
          <w:tcPr>
            <w:tcW w:w="94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品种</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树龄（年）</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面积（亩）</w:t>
            </w:r>
          </w:p>
        </w:tc>
        <w:tc>
          <w:tcPr>
            <w:tcW w:w="9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总株数（株）</w:t>
            </w:r>
          </w:p>
        </w:tc>
        <w:tc>
          <w:tcPr>
            <w:tcW w:w="133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普查病株数（株）</w:t>
            </w:r>
          </w:p>
        </w:tc>
        <w:tc>
          <w:tcPr>
            <w:tcW w:w="133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清除病株数（株）</w:t>
            </w:r>
          </w:p>
        </w:tc>
      </w:tr>
      <w:tr>
        <w:tblPrEx>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90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99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23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15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13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13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r>
      <w:tr>
        <w:tblPrEx>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3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注：集中连片500亩及以上的基地填此表，树龄栏以果园大多数果树树龄为准。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龙南市柑橘黄龙病普查清除登记表（非集中连片园）</w:t>
      </w:r>
    </w:p>
    <w:p>
      <w:pPr>
        <w:rPr>
          <w:rFonts w:ascii="仿宋_GB2312" w:hAnsi="仿宋_GB2312" w:eastAsia="仿宋_GB2312" w:cs="仿宋_GB2312"/>
          <w:sz w:val="24"/>
        </w:rPr>
      </w:pPr>
      <w:r>
        <w:rPr>
          <w:rFonts w:hint="eastAsia" w:ascii="仿宋_GB2312" w:hAnsi="仿宋_GB2312" w:eastAsia="仿宋_GB2312" w:cs="仿宋_GB2312"/>
          <w:sz w:val="24"/>
        </w:rPr>
        <w:t>乡镇（盖章）：         填报人：         分管领导签字：       政府主要领导签字：     填报日期：2022年  月  日</w:t>
      </w:r>
    </w:p>
    <w:tbl>
      <w:tblPr>
        <w:tblStyle w:val="7"/>
        <w:tblW w:w="13712" w:type="dxa"/>
        <w:tblInd w:w="91" w:type="dxa"/>
        <w:tblLayout w:type="fixed"/>
        <w:tblCellMar>
          <w:top w:w="0" w:type="dxa"/>
          <w:left w:w="108" w:type="dxa"/>
          <w:bottom w:w="0" w:type="dxa"/>
          <w:right w:w="108" w:type="dxa"/>
        </w:tblCellMar>
      </w:tblPr>
      <w:tblGrid>
        <w:gridCol w:w="719"/>
        <w:gridCol w:w="901"/>
        <w:gridCol w:w="1232"/>
        <w:gridCol w:w="851"/>
        <w:gridCol w:w="2164"/>
        <w:gridCol w:w="1695"/>
        <w:gridCol w:w="765"/>
        <w:gridCol w:w="795"/>
        <w:gridCol w:w="765"/>
        <w:gridCol w:w="1065"/>
        <w:gridCol w:w="1335"/>
        <w:gridCol w:w="1425"/>
      </w:tblGrid>
      <w:tr>
        <w:tblPrEx>
          <w:tblCellMar>
            <w:top w:w="0" w:type="dxa"/>
            <w:left w:w="108" w:type="dxa"/>
            <w:bottom w:w="0" w:type="dxa"/>
            <w:right w:w="108" w:type="dxa"/>
          </w:tblCellMar>
        </w:tblPrEx>
        <w:trPr>
          <w:trHeight w:val="312" w:hRule="atLeast"/>
        </w:trPr>
        <w:tc>
          <w:tcPr>
            <w:tcW w:w="71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序号</w:t>
            </w:r>
          </w:p>
        </w:tc>
        <w:tc>
          <w:tcPr>
            <w:tcW w:w="90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村别</w:t>
            </w:r>
          </w:p>
        </w:tc>
        <w:tc>
          <w:tcPr>
            <w:tcW w:w="123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果园地址（小地名）</w:t>
            </w:r>
          </w:p>
        </w:tc>
        <w:tc>
          <w:tcPr>
            <w:tcW w:w="85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果园主姓名</w:t>
            </w:r>
          </w:p>
        </w:tc>
        <w:tc>
          <w:tcPr>
            <w:tcW w:w="216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身份证号</w:t>
            </w:r>
          </w:p>
        </w:tc>
        <w:tc>
          <w:tcPr>
            <w:tcW w:w="169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电话号码</w:t>
            </w:r>
          </w:p>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品种</w:t>
            </w:r>
          </w:p>
        </w:tc>
        <w:tc>
          <w:tcPr>
            <w:tcW w:w="79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树龄（年）</w:t>
            </w:r>
          </w:p>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面积（亩）</w:t>
            </w: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总株数（株）</w:t>
            </w:r>
          </w:p>
        </w:tc>
        <w:tc>
          <w:tcPr>
            <w:tcW w:w="133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普查病株数（株）</w:t>
            </w:r>
          </w:p>
        </w:tc>
        <w:tc>
          <w:tcPr>
            <w:tcW w:w="14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清除病株数（株）</w:t>
            </w:r>
          </w:p>
        </w:tc>
      </w:tr>
      <w:tr>
        <w:tblPrEx>
          <w:tblCellMar>
            <w:top w:w="0" w:type="dxa"/>
            <w:left w:w="108" w:type="dxa"/>
            <w:bottom w:w="0" w:type="dxa"/>
            <w:right w:w="108" w:type="dxa"/>
          </w:tblCellMar>
        </w:tblPrEx>
        <w:trPr>
          <w:trHeight w:val="312" w:hRule="atLeast"/>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90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21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13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b/>
                <w:bCs/>
                <w:color w:val="000000"/>
                <w:sz w:val="24"/>
              </w:rPr>
            </w:pPr>
          </w:p>
        </w:tc>
      </w:tr>
      <w:tr>
        <w:tblPrEx>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71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21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宋体" w:eastAsia="仿宋_GB2312" w:cs="仿宋_GB2312"/>
                <w:color w:val="000000"/>
                <w:sz w:val="26"/>
                <w:szCs w:val="26"/>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bl>
    <w:p>
      <w:r>
        <w:rPr>
          <w:rFonts w:hint="eastAsia" w:ascii="仿宋_GB2312" w:hAnsi="仿宋_GB2312" w:eastAsia="仿宋_GB2312" w:cs="仿宋_GB2312"/>
          <w:sz w:val="32"/>
          <w:szCs w:val="32"/>
        </w:rPr>
        <w:t>注：未达到500亩及以上的基地填此表，树龄栏以果园大多数果树树龄为准。</w:t>
      </w:r>
    </w:p>
    <w:sectPr>
      <w:pgSz w:w="16838" w:h="11906" w:orient="landscape"/>
      <w:pgMar w:top="2098" w:right="1587" w:bottom="2098" w:left="1587" w:header="2098"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11</w:t>
    </w:r>
    <w:r>
      <w:rPr>
        <w:rFonts w:ascii="宋体" w:hAnsi="宋体"/>
        <w:sz w:val="28"/>
        <w:szCs w:val="28"/>
      </w:rPr>
      <w:fldChar w:fldCharType="end"/>
    </w:r>
    <w:r>
      <w:rPr>
        <w:rStyle w:val="9"/>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180"/>
      <w:rPr>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4D8C"/>
    <w:rsid w:val="0024008A"/>
    <w:rsid w:val="00404DC7"/>
    <w:rsid w:val="009F4D8C"/>
    <w:rsid w:val="00CB412D"/>
    <w:rsid w:val="3D240FAD"/>
    <w:rsid w:val="43762FC0"/>
    <w:rsid w:val="44211361"/>
    <w:rsid w:val="49880FA2"/>
    <w:rsid w:val="4C1B23E3"/>
    <w:rsid w:val="4E78131C"/>
    <w:rsid w:val="5F2A7A80"/>
    <w:rsid w:val="67CA7588"/>
    <w:rsid w:val="6B1D6483"/>
    <w:rsid w:val="728E3F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3"/>
    <w:next w:val="3"/>
    <w:semiHidden/>
    <w:unhideWhenUsed/>
    <w:qFormat/>
    <w:uiPriority w:val="99"/>
    <w:pPr>
      <w:spacing w:before="100" w:beforeAutospacing="1" w:after="120"/>
      <w:ind w:left="420" w:leftChars="200"/>
    </w:pPr>
    <w:rPr>
      <w:rFonts w:eastAsia="Times New Roman"/>
    </w:rPr>
  </w:style>
  <w:style w:type="paragraph" w:styleId="3">
    <w:name w:val="Normal Indent"/>
    <w:basedOn w:val="1"/>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styleId="9">
    <w:name w:val="page number"/>
    <w:basedOn w:val="8"/>
    <w:qFormat/>
    <w:uiPriority w:val="0"/>
  </w:style>
  <w:style w:type="paragraph" w:customStyle="1" w:styleId="10">
    <w:name w:val="p0"/>
    <w:basedOn w:val="1"/>
    <w:qFormat/>
    <w:uiPriority w:val="99"/>
    <w:pPr>
      <w:widowControl/>
    </w:pPr>
    <w:rPr>
      <w:rFonts w:ascii="Calibri" w:hAnsi="Calibri"/>
      <w:szCs w:val="22"/>
    </w:rPr>
  </w:style>
  <w:style w:type="character" w:customStyle="1" w:styleId="11">
    <w:name w:val="15"/>
    <w:basedOn w:val="8"/>
    <w:qFormat/>
    <w:uiPriority w:val="0"/>
    <w:rPr>
      <w:rFonts w:hint="default" w:ascii="Calibri" w:hAnsi="Calibri"/>
    </w:rPr>
  </w:style>
  <w:style w:type="character" w:customStyle="1" w:styleId="12">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641</Words>
  <Characters>3656</Characters>
  <Lines>30</Lines>
  <Paragraphs>8</Paragraphs>
  <TotalTime>7</TotalTime>
  <ScaleCrop>false</ScaleCrop>
  <LinksUpToDate>false</LinksUpToDate>
  <CharactersWithSpaces>4289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2022-03-07T09:20:53Z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023B9C38F3E247C3A4AFA2224E897580</vt:lpwstr>
  </property>
</Properties>
</file>