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AE" w:rsidRDefault="00893899">
      <w:pPr>
        <w:widowControl/>
        <w:spacing w:line="56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江西省生态环境厅关于印发《</w:t>
      </w:r>
      <w:r>
        <w:rPr>
          <w:rFonts w:ascii="方正小标宋简体" w:eastAsia="方正小标宋简体" w:hAnsi="方正小标宋简体" w:cs="方正小标宋简体" w:hint="eastAsia"/>
          <w:sz w:val="44"/>
          <w:szCs w:val="44"/>
        </w:rPr>
        <w:t>江西省伴生放射性矿开发利用</w:t>
      </w:r>
      <w:r>
        <w:rPr>
          <w:rFonts w:ascii="方正小标宋简体" w:eastAsia="方正小标宋简体" w:hAnsi="方正小标宋简体" w:cs="方正小标宋简体"/>
          <w:sz w:val="44"/>
          <w:szCs w:val="44"/>
        </w:rPr>
        <w:t>企业</w:t>
      </w:r>
      <w:r>
        <w:rPr>
          <w:rFonts w:ascii="方正小标宋简体" w:eastAsia="方正小标宋简体" w:hAnsi="方正小标宋简体" w:cs="方正小标宋简体" w:hint="eastAsia"/>
          <w:sz w:val="44"/>
          <w:szCs w:val="44"/>
        </w:rPr>
        <w:t>环境辐射监测及信息</w:t>
      </w:r>
    </w:p>
    <w:p w:rsidR="007F0AAE" w:rsidRDefault="00893899">
      <w:pPr>
        <w:widowControl/>
        <w:spacing w:line="560" w:lineRule="exact"/>
        <w:jc w:val="center"/>
        <w:outlineLvl w:val="0"/>
        <w:rPr>
          <w:rFonts w:eastAsia="方正小标宋简体"/>
          <w:sz w:val="44"/>
          <w:szCs w:val="44"/>
        </w:rPr>
      </w:pPr>
      <w:r>
        <w:rPr>
          <w:rFonts w:ascii="方正小标宋简体" w:eastAsia="方正小标宋简体" w:hAnsi="方正小标宋简体" w:cs="方正小标宋简体" w:hint="eastAsia"/>
          <w:sz w:val="44"/>
          <w:szCs w:val="44"/>
        </w:rPr>
        <w:t>公开实施办法（试行）</w:t>
      </w:r>
      <w:r>
        <w:rPr>
          <w:rFonts w:ascii="方正小标宋简体" w:eastAsia="方正小标宋简体" w:hAnsi="方正小标宋简体" w:cs="方正小标宋简体" w:hint="eastAsia"/>
          <w:sz w:val="44"/>
          <w:szCs w:val="44"/>
        </w:rPr>
        <w:t>》的通知</w:t>
      </w:r>
    </w:p>
    <w:p w:rsidR="007F0AAE" w:rsidRDefault="007F0AAE">
      <w:pPr>
        <w:spacing w:line="560" w:lineRule="exact"/>
        <w:jc w:val="center"/>
        <w:rPr>
          <w:rFonts w:eastAsia="楷体_GB2312" w:cs="楷体_GB2312"/>
        </w:rPr>
      </w:pPr>
    </w:p>
    <w:p w:rsidR="007F0AAE" w:rsidRDefault="00893899">
      <w:pPr>
        <w:spacing w:line="500" w:lineRule="exact"/>
        <w:rPr>
          <w:rFonts w:cs="仿宋_GB2312"/>
        </w:rPr>
      </w:pPr>
      <w:r>
        <w:rPr>
          <w:rFonts w:cs="仿宋_GB2312" w:hint="eastAsia"/>
        </w:rPr>
        <w:t>各</w:t>
      </w:r>
      <w:r>
        <w:rPr>
          <w:rFonts w:cs="仿宋_GB2312" w:hint="eastAsia"/>
        </w:rPr>
        <w:t>设区市</w:t>
      </w:r>
      <w:r>
        <w:rPr>
          <w:rFonts w:cs="仿宋_GB2312" w:hint="eastAsia"/>
        </w:rPr>
        <w:t>、赣江新区生态环境局：</w:t>
      </w:r>
    </w:p>
    <w:p w:rsidR="007F0AAE" w:rsidRDefault="00893899" w:rsidP="00A32059">
      <w:pPr>
        <w:spacing w:line="500" w:lineRule="exact"/>
        <w:ind w:firstLineChars="200" w:firstLine="610"/>
        <w:rPr>
          <w:rFonts w:ascii="仿宋_GB2312" w:hAnsi="仿宋_GB2312" w:cs="仿宋_GB2312"/>
        </w:rPr>
      </w:pPr>
      <w:r>
        <w:rPr>
          <w:rFonts w:ascii="仿宋_GB2312" w:hAnsi="仿宋_GB2312" w:cs="仿宋_GB2312" w:hint="eastAsia"/>
          <w:w w:val="96"/>
          <w:szCs w:val="32"/>
        </w:rPr>
        <w:t>为</w:t>
      </w:r>
      <w:r>
        <w:rPr>
          <w:rFonts w:ascii="仿宋_GB2312" w:hAnsi="仿宋_GB2312" w:cs="仿宋_GB2312" w:hint="eastAsia"/>
          <w:w w:val="96"/>
          <w:szCs w:val="32"/>
          <w:lang/>
        </w:rPr>
        <w:t>落实以排污许可制为核心的固定污染源监管制度</w:t>
      </w:r>
      <w:r>
        <w:rPr>
          <w:rFonts w:cs="仿宋_GB2312" w:hint="eastAsia"/>
          <w:w w:val="96"/>
          <w:szCs w:val="32"/>
          <w:lang/>
        </w:rPr>
        <w:t>，</w:t>
      </w:r>
      <w:r>
        <w:rPr>
          <w:rFonts w:cs="仿宋_GB2312" w:hint="eastAsia"/>
          <w:w w:val="96"/>
          <w:szCs w:val="32"/>
        </w:rPr>
        <w:t>推动</w:t>
      </w:r>
      <w:r>
        <w:rPr>
          <w:rFonts w:cs="仿宋_GB2312" w:hint="eastAsia"/>
          <w:w w:val="96"/>
          <w:szCs w:val="32"/>
          <w:lang/>
        </w:rPr>
        <w:t>伴生放射性环境影响纳入排污许可管理，进一步</w:t>
      </w:r>
      <w:r>
        <w:rPr>
          <w:rFonts w:ascii="仿宋_GB2312" w:hAnsi="仿宋_GB2312" w:cs="仿宋_GB2312" w:hint="eastAsia"/>
          <w:w w:val="96"/>
          <w:szCs w:val="32"/>
        </w:rPr>
        <w:t>规范全省伴生放射性矿开发利用</w:t>
      </w:r>
      <w:r>
        <w:rPr>
          <w:rFonts w:ascii="仿宋_GB2312" w:hAnsi="仿宋_GB2312" w:cs="仿宋_GB2312"/>
          <w:w w:val="96"/>
          <w:szCs w:val="32"/>
        </w:rPr>
        <w:t>企业环境辐射监测及信息</w:t>
      </w:r>
      <w:r>
        <w:rPr>
          <w:rFonts w:ascii="仿宋_GB2312" w:hAnsi="仿宋_GB2312" w:cs="仿宋_GB2312" w:hint="eastAsia"/>
          <w:w w:val="96"/>
          <w:szCs w:val="32"/>
        </w:rPr>
        <w:t>公开工作，</w:t>
      </w:r>
      <w:r>
        <w:rPr>
          <w:rFonts w:cs="仿宋_GB2312" w:hint="eastAsia"/>
          <w:w w:val="96"/>
          <w:szCs w:val="32"/>
        </w:rPr>
        <w:t>我厅制定了</w:t>
      </w:r>
      <w:r>
        <w:rPr>
          <w:rFonts w:ascii="仿宋_GB2312" w:hAnsi="仿宋_GB2312" w:cs="仿宋_GB2312" w:hint="eastAsia"/>
        </w:rPr>
        <w:t>《江西省伴生放射性矿开发利用企业环境辐射监测及信息公开实施办法（试行）》，现印发给你们，请认真贯彻</w:t>
      </w:r>
      <w:r>
        <w:rPr>
          <w:rFonts w:cs="仿宋_GB2312" w:hint="eastAsia"/>
        </w:rPr>
        <w:t>落实</w:t>
      </w:r>
      <w:r>
        <w:rPr>
          <w:rFonts w:ascii="仿宋_GB2312" w:hAnsi="仿宋_GB2312" w:cs="仿宋_GB2312" w:hint="eastAsia"/>
        </w:rPr>
        <w:t>。</w:t>
      </w:r>
    </w:p>
    <w:p w:rsidR="007F0AAE" w:rsidRDefault="007F0AAE">
      <w:pPr>
        <w:spacing w:line="500" w:lineRule="exact"/>
        <w:ind w:firstLineChars="200" w:firstLine="640"/>
        <w:rPr>
          <w:rFonts w:ascii="仿宋_GB2312" w:hAnsi="仿宋_GB2312" w:cs="仿宋_GB2312"/>
        </w:rPr>
      </w:pPr>
    </w:p>
    <w:p w:rsidR="007F0AAE" w:rsidRDefault="007F0AAE">
      <w:pPr>
        <w:spacing w:line="500" w:lineRule="exact"/>
        <w:ind w:firstLineChars="200" w:firstLine="640"/>
        <w:rPr>
          <w:rFonts w:ascii="仿宋_GB2312" w:hAnsi="仿宋_GB2312" w:cs="仿宋_GB2312"/>
        </w:rPr>
      </w:pPr>
    </w:p>
    <w:p w:rsidR="007F0AAE" w:rsidRDefault="00893899">
      <w:pPr>
        <w:spacing w:line="500" w:lineRule="exact"/>
        <w:jc w:val="center"/>
        <w:rPr>
          <w:rFonts w:ascii="仿宋_GB2312" w:hAnsi="仿宋_GB2312" w:cs="仿宋_GB2312"/>
        </w:rPr>
      </w:pPr>
      <w:r>
        <w:rPr>
          <w:rFonts w:ascii="仿宋_GB2312" w:hAnsi="仿宋_GB2312" w:cs="仿宋_GB2312" w:hint="eastAsia"/>
        </w:rPr>
        <w:t>江西省生态环境厅</w:t>
      </w:r>
    </w:p>
    <w:p w:rsidR="007F0AAE" w:rsidRDefault="00893899">
      <w:pPr>
        <w:spacing w:line="500" w:lineRule="exact"/>
        <w:jc w:val="center"/>
        <w:rPr>
          <w:rFonts w:ascii="仿宋_GB2312" w:hAnsi="仿宋_GB2312" w:cs="仿宋_GB2312"/>
        </w:rPr>
      </w:pPr>
      <w:r>
        <w:rPr>
          <w:rFonts w:ascii="仿宋_GB2312" w:hAnsi="仿宋_GB2312" w:cs="仿宋_GB2312" w:hint="eastAsia"/>
        </w:rPr>
        <w:t>2024</w:t>
      </w:r>
      <w:r>
        <w:rPr>
          <w:rFonts w:ascii="仿宋_GB2312" w:hAnsi="仿宋_GB2312" w:cs="仿宋_GB2312" w:hint="eastAsia"/>
        </w:rPr>
        <w:t>年</w:t>
      </w:r>
      <w:r>
        <w:rPr>
          <w:rFonts w:cs="仿宋_GB2312" w:hint="eastAsia"/>
        </w:rPr>
        <w:t>1</w:t>
      </w:r>
      <w:r>
        <w:rPr>
          <w:rFonts w:ascii="仿宋_GB2312" w:hAnsi="仿宋_GB2312" w:cs="仿宋_GB2312" w:hint="eastAsia"/>
          <w:lang/>
        </w:rPr>
        <w:t>2</w:t>
      </w:r>
      <w:r>
        <w:rPr>
          <w:rFonts w:ascii="仿宋_GB2312" w:hAnsi="仿宋_GB2312" w:cs="仿宋_GB2312" w:hint="eastAsia"/>
        </w:rPr>
        <w:t>月</w:t>
      </w:r>
      <w:r>
        <w:rPr>
          <w:rFonts w:ascii="仿宋_GB2312" w:cs="仿宋_GB2312"/>
          <w:lang/>
        </w:rPr>
        <w:t>31</w:t>
      </w:r>
      <w:r>
        <w:rPr>
          <w:rFonts w:ascii="仿宋_GB2312" w:hAnsi="仿宋_GB2312" w:cs="仿宋_GB2312" w:hint="eastAsia"/>
        </w:rPr>
        <w:t>日</w:t>
      </w:r>
    </w:p>
    <w:p w:rsidR="007F0AAE" w:rsidRDefault="00893899">
      <w:pPr>
        <w:spacing w:line="500" w:lineRule="exact"/>
        <w:ind w:firstLineChars="200" w:firstLine="640"/>
        <w:jc w:val="left"/>
        <w:rPr>
          <w:rFonts w:ascii="仿宋_GB2312" w:hAnsi="仿宋_GB2312" w:cs="仿宋_GB2312"/>
          <w:szCs w:val="32"/>
        </w:rPr>
      </w:pPr>
      <w:r>
        <w:rPr>
          <w:rFonts w:ascii="仿宋_GB2312" w:hAnsi="仿宋_GB2312" w:cs="仿宋_GB2312" w:hint="eastAsia"/>
        </w:rPr>
        <w:t>（此件主动公开）</w:t>
      </w: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7F0AAE">
      <w:pPr>
        <w:spacing w:line="600" w:lineRule="exact"/>
        <w:jc w:val="center"/>
        <w:outlineLvl w:val="0"/>
        <w:rPr>
          <w:rFonts w:ascii="方正小标宋简体" w:eastAsia="方正小标宋简体" w:hAnsi="方正小标宋简体" w:cs="方正小标宋简体"/>
          <w:sz w:val="44"/>
          <w:szCs w:val="44"/>
        </w:rPr>
      </w:pPr>
    </w:p>
    <w:p w:rsidR="007F0AAE" w:rsidRDefault="00893899">
      <w:pPr>
        <w:spacing w:line="6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江西省伴生放射性矿</w:t>
      </w:r>
      <w:bookmarkStart w:id="0" w:name="_GoBack"/>
      <w:bookmarkEnd w:id="0"/>
      <w:r>
        <w:rPr>
          <w:rFonts w:ascii="方正小标宋简体" w:eastAsia="方正小标宋简体" w:hAnsi="方正小标宋简体" w:cs="方正小标宋简体" w:hint="eastAsia"/>
          <w:sz w:val="44"/>
          <w:szCs w:val="44"/>
        </w:rPr>
        <w:t>开发利用</w:t>
      </w:r>
      <w:r>
        <w:rPr>
          <w:rFonts w:ascii="方正小标宋简体" w:eastAsia="方正小标宋简体" w:hAnsi="方正小标宋简体" w:cs="方正小标宋简体"/>
          <w:sz w:val="44"/>
          <w:szCs w:val="44"/>
        </w:rPr>
        <w:t>企业</w:t>
      </w:r>
      <w:r>
        <w:rPr>
          <w:rFonts w:ascii="方正小标宋简体" w:eastAsia="方正小标宋简体" w:hAnsi="方正小标宋简体" w:cs="方正小标宋简体" w:hint="eastAsia"/>
          <w:sz w:val="44"/>
          <w:szCs w:val="44"/>
        </w:rPr>
        <w:t>环境辐射监测及信息公开实施办法</w:t>
      </w:r>
    </w:p>
    <w:p w:rsidR="007F0AAE" w:rsidRDefault="00893899">
      <w:pPr>
        <w:spacing w:line="600" w:lineRule="exact"/>
        <w:jc w:val="center"/>
        <w:outlineLvl w:val="0"/>
        <w:rPr>
          <w:rFonts w:ascii="仿宋_GB2312" w:hAnsi="仿宋_GB2312" w:cs="仿宋_GB2312"/>
          <w:sz w:val="44"/>
          <w:szCs w:val="44"/>
        </w:rPr>
      </w:pPr>
      <w:r>
        <w:rPr>
          <w:rFonts w:ascii="楷体_GB2312" w:eastAsia="楷体_GB2312" w:hAnsi="楷体_GB2312" w:cs="楷体_GB2312" w:hint="eastAsia"/>
          <w:szCs w:val="32"/>
        </w:rPr>
        <w:t>（试行）</w:t>
      </w:r>
    </w:p>
    <w:p w:rsidR="007F0AAE" w:rsidRDefault="00893899" w:rsidP="00A32059">
      <w:pPr>
        <w:spacing w:beforeLines="50" w:afterLines="50" w:line="560" w:lineRule="exact"/>
        <w:jc w:val="center"/>
        <w:outlineLvl w:val="0"/>
        <w:rPr>
          <w:rFonts w:ascii="黑体" w:eastAsia="黑体" w:hAnsi="黑体" w:cs="黑体"/>
          <w:w w:val="96"/>
          <w:szCs w:val="32"/>
        </w:rPr>
      </w:pPr>
      <w:r>
        <w:rPr>
          <w:rFonts w:ascii="黑体" w:eastAsia="黑体" w:hAnsi="黑体" w:cs="黑体" w:hint="eastAsia"/>
          <w:w w:val="96"/>
          <w:szCs w:val="32"/>
        </w:rPr>
        <w:t>第一章</w:t>
      </w:r>
      <w:r>
        <w:rPr>
          <w:rFonts w:ascii="黑体" w:eastAsia="黑体" w:hAnsi="黑体" w:cs="黑体" w:hint="eastAsia"/>
          <w:w w:val="96"/>
          <w:szCs w:val="32"/>
        </w:rPr>
        <w:t xml:space="preserve"> </w:t>
      </w:r>
      <w:r>
        <w:rPr>
          <w:rFonts w:ascii="黑体" w:eastAsia="黑体" w:hAnsi="黑体" w:cs="黑体" w:hint="eastAsia"/>
          <w:w w:val="96"/>
          <w:szCs w:val="32"/>
        </w:rPr>
        <w:t>总则</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第一条</w:t>
      </w:r>
      <w:r>
        <w:rPr>
          <w:rFonts w:ascii="仿宋_GB2312" w:hAnsi="仿宋_GB2312" w:cs="仿宋_GB2312" w:hint="eastAsia"/>
          <w:szCs w:val="32"/>
        </w:rPr>
        <w:t xml:space="preserve"> </w:t>
      </w:r>
      <w:r>
        <w:rPr>
          <w:rFonts w:ascii="仿宋_GB2312" w:hAnsi="仿宋_GB2312" w:cs="仿宋_GB2312" w:hint="eastAsia"/>
          <w:szCs w:val="32"/>
        </w:rPr>
        <w:t>为</w:t>
      </w:r>
      <w:r>
        <w:rPr>
          <w:rFonts w:ascii="仿宋_GB2312" w:hAnsi="仿宋_GB2312" w:cs="仿宋_GB2312" w:hint="eastAsia"/>
          <w:szCs w:val="32"/>
          <w:lang/>
        </w:rPr>
        <w:t>落实以排污许可制为核心的固定污染源监管制度</w:t>
      </w:r>
      <w:r>
        <w:rPr>
          <w:rFonts w:cs="仿宋_GB2312" w:hint="eastAsia"/>
          <w:szCs w:val="32"/>
          <w:lang/>
        </w:rPr>
        <w:t>，</w:t>
      </w:r>
      <w:r>
        <w:rPr>
          <w:rFonts w:cs="仿宋_GB2312" w:hint="eastAsia"/>
          <w:szCs w:val="32"/>
        </w:rPr>
        <w:t>推动</w:t>
      </w:r>
      <w:r>
        <w:rPr>
          <w:rFonts w:cs="仿宋_GB2312" w:hint="eastAsia"/>
          <w:szCs w:val="32"/>
          <w:lang/>
        </w:rPr>
        <w:t>伴生放射性环境影响纳入排污许可管理，进一步</w:t>
      </w:r>
      <w:r>
        <w:rPr>
          <w:rFonts w:ascii="仿宋_GB2312" w:hAnsi="仿宋_GB2312" w:cs="仿宋_GB2312" w:hint="eastAsia"/>
          <w:szCs w:val="32"/>
        </w:rPr>
        <w:t>规范全省伴生放射性矿开发利用</w:t>
      </w:r>
      <w:r>
        <w:rPr>
          <w:rFonts w:ascii="仿宋_GB2312" w:hAnsi="仿宋_GB2312" w:cs="仿宋_GB2312"/>
          <w:szCs w:val="32"/>
        </w:rPr>
        <w:t>企业</w:t>
      </w:r>
      <w:r>
        <w:rPr>
          <w:rFonts w:ascii="仿宋_GB2312" w:hAnsi="仿宋_GB2312" w:cs="仿宋_GB2312" w:hint="eastAsia"/>
          <w:szCs w:val="32"/>
        </w:rPr>
        <w:t>（以下简</w:t>
      </w:r>
      <w:r>
        <w:rPr>
          <w:rFonts w:cs="仿宋_GB2312" w:hint="eastAsia"/>
          <w:szCs w:val="32"/>
        </w:rPr>
        <w:t>称</w:t>
      </w:r>
      <w:r>
        <w:rPr>
          <w:rFonts w:ascii="仿宋_GB2312" w:hAnsi="仿宋_GB2312" w:cs="仿宋_GB2312" w:hint="eastAsia"/>
          <w:szCs w:val="32"/>
        </w:rPr>
        <w:t>企业）</w:t>
      </w:r>
      <w:r>
        <w:rPr>
          <w:rFonts w:ascii="仿宋_GB2312" w:hAnsi="仿宋_GB2312" w:cs="仿宋_GB2312"/>
          <w:szCs w:val="32"/>
        </w:rPr>
        <w:t>环境辐射监测及信息</w:t>
      </w:r>
      <w:r>
        <w:rPr>
          <w:rFonts w:ascii="仿宋_GB2312" w:hAnsi="仿宋_GB2312" w:cs="仿宋_GB2312" w:hint="eastAsia"/>
          <w:szCs w:val="32"/>
        </w:rPr>
        <w:t>公开工作，提升辐射环境监督管理</w:t>
      </w:r>
      <w:r>
        <w:rPr>
          <w:rFonts w:ascii="仿宋_GB2312" w:hAnsi="仿宋_GB2312" w:cs="仿宋_GB2312" w:hint="eastAsia"/>
          <w:szCs w:val="32"/>
          <w:shd w:val="clear" w:color="auto" w:fill="FFFFFF"/>
        </w:rPr>
        <w:t>水平</w:t>
      </w:r>
      <w:r>
        <w:rPr>
          <w:rFonts w:ascii="仿宋_GB2312" w:hAnsi="仿宋_GB2312" w:cs="仿宋_GB2312" w:hint="eastAsia"/>
          <w:szCs w:val="32"/>
        </w:rPr>
        <w:t>，根据</w:t>
      </w:r>
      <w:r>
        <w:rPr>
          <w:rFonts w:cs="仿宋_GB2312" w:hint="eastAsia"/>
          <w:szCs w:val="32"/>
        </w:rPr>
        <w:t>《排污许可管理条例》</w:t>
      </w:r>
      <w:r>
        <w:rPr>
          <w:rFonts w:ascii="仿宋_GB2312" w:hAnsi="仿宋_GB2312" w:cs="仿宋_GB2312" w:hint="eastAsia"/>
          <w:szCs w:val="32"/>
        </w:rPr>
        <w:t>《企业环境信息依法披露管理办法》《环境监管重点单位名录管理办法》和《伴生放射性矿开发利用</w:t>
      </w:r>
      <w:r>
        <w:rPr>
          <w:rFonts w:ascii="仿宋_GB2312" w:hAnsi="仿宋_GB2312" w:cs="仿宋_GB2312"/>
          <w:szCs w:val="32"/>
        </w:rPr>
        <w:t>企业</w:t>
      </w:r>
      <w:r>
        <w:rPr>
          <w:rFonts w:ascii="仿宋_GB2312" w:hAnsi="仿宋_GB2312" w:cs="仿宋_GB2312" w:hint="eastAsia"/>
          <w:szCs w:val="32"/>
        </w:rPr>
        <w:t>环境辐射监测及信息公开办法（试行）》</w:t>
      </w:r>
      <w:r>
        <w:rPr>
          <w:rFonts w:ascii="仿宋_GB2312" w:hint="eastAsia"/>
          <w:szCs w:val="32"/>
        </w:rPr>
        <w:t>，结合江西实际</w:t>
      </w:r>
      <w:r>
        <w:rPr>
          <w:rFonts w:ascii="仿宋_GB2312" w:hAnsi="仿宋_GB2312" w:cs="仿宋_GB2312" w:hint="eastAsia"/>
          <w:szCs w:val="32"/>
        </w:rPr>
        <w:t>，制定本办法。</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第二条</w:t>
      </w:r>
      <w:r>
        <w:rPr>
          <w:rFonts w:ascii="仿宋_GB2312" w:hAnsi="仿宋_GB2312" w:cs="仿宋_GB2312" w:hint="eastAsia"/>
          <w:szCs w:val="32"/>
        </w:rPr>
        <w:t xml:space="preserve"> </w:t>
      </w:r>
      <w:r>
        <w:rPr>
          <w:rFonts w:ascii="仿宋_GB2312" w:hAnsi="仿宋_GB2312" w:cs="仿宋_GB2312" w:hint="eastAsia"/>
          <w:szCs w:val="32"/>
        </w:rPr>
        <w:t>本办法适用于除铀（钍）矿外所有矿产资源开发利用活动中原矿、中间产品、尾矿（渣）或者其他残留物中铀（钍）系单个核素含量超过</w:t>
      </w:r>
      <w:r>
        <w:rPr>
          <w:rFonts w:ascii="仿宋_GB2312" w:hAnsi="仿宋_GB2312" w:cs="仿宋_GB2312" w:hint="eastAsia"/>
          <w:szCs w:val="32"/>
        </w:rPr>
        <w:t xml:space="preserve"> 1 </w:t>
      </w:r>
      <w:r>
        <w:rPr>
          <w:rFonts w:ascii="仿宋_GB2312" w:hAnsi="仿宋_GB2312" w:cs="仿宋_GB2312" w:hint="eastAsia"/>
          <w:szCs w:val="32"/>
        </w:rPr>
        <w:t>贝可</w:t>
      </w:r>
      <w:r>
        <w:rPr>
          <w:rFonts w:ascii="仿宋_GB2312" w:hAnsi="仿宋_GB2312" w:cs="仿宋_GB2312" w:hint="eastAsia"/>
          <w:szCs w:val="32"/>
        </w:rPr>
        <w:t>/</w:t>
      </w:r>
      <w:r>
        <w:rPr>
          <w:rFonts w:ascii="仿宋_GB2312" w:hAnsi="仿宋_GB2312" w:cs="仿宋_GB2312" w:hint="eastAsia"/>
          <w:szCs w:val="32"/>
        </w:rPr>
        <w:t>克的企业。</w:t>
      </w:r>
    </w:p>
    <w:p w:rsidR="007F0AAE" w:rsidRDefault="00893899">
      <w:pPr>
        <w:spacing w:line="560" w:lineRule="exact"/>
        <w:ind w:firstLineChars="200" w:firstLine="640"/>
        <w:rPr>
          <w:rFonts w:ascii="仿宋_GB2312" w:hAnsi="仿宋_GB2312" w:cs="仿宋_GB2312"/>
          <w:szCs w:val="32"/>
        </w:rPr>
      </w:pPr>
      <w:r>
        <w:rPr>
          <w:rFonts w:ascii="仿宋_GB2312" w:hAnsi="仿宋_GB2312" w:cs="仿宋_GB2312" w:hint="eastAsia"/>
          <w:szCs w:val="32"/>
        </w:rPr>
        <w:t>上述条款中所指超过</w:t>
      </w:r>
      <w:r>
        <w:rPr>
          <w:rFonts w:ascii="仿宋_GB2312" w:hAnsi="仿宋_GB2312" w:cs="仿宋_GB2312" w:hint="eastAsia"/>
          <w:szCs w:val="32"/>
        </w:rPr>
        <w:t xml:space="preserve"> 1 </w:t>
      </w:r>
      <w:r>
        <w:rPr>
          <w:rFonts w:ascii="仿宋_GB2312" w:hAnsi="仿宋_GB2312" w:cs="仿宋_GB2312" w:hint="eastAsia"/>
          <w:szCs w:val="32"/>
        </w:rPr>
        <w:t>贝可</w:t>
      </w:r>
      <w:r>
        <w:rPr>
          <w:rFonts w:ascii="仿宋_GB2312" w:hAnsi="仿宋_GB2312" w:cs="仿宋_GB2312" w:hint="eastAsia"/>
          <w:szCs w:val="32"/>
        </w:rPr>
        <w:t>/</w:t>
      </w:r>
      <w:r>
        <w:rPr>
          <w:rFonts w:ascii="仿宋_GB2312" w:hAnsi="仿宋_GB2312" w:cs="仿宋_GB2312" w:hint="eastAsia"/>
          <w:szCs w:val="32"/>
        </w:rPr>
        <w:t>克，是指任一批次的原矿、中间产品、尾矿（渣）或者其他残留物的任一物料中铀（钍）系单个核素含量超过</w:t>
      </w:r>
      <w:r>
        <w:rPr>
          <w:rFonts w:ascii="仿宋_GB2312" w:hAnsi="仿宋_GB2312" w:cs="仿宋_GB2312" w:hint="eastAsia"/>
          <w:szCs w:val="32"/>
        </w:rPr>
        <w:t xml:space="preserve"> 1 </w:t>
      </w:r>
      <w:r>
        <w:rPr>
          <w:rFonts w:ascii="仿宋_GB2312" w:hAnsi="仿宋_GB2312" w:cs="仿宋_GB2312" w:hint="eastAsia"/>
          <w:szCs w:val="32"/>
        </w:rPr>
        <w:t>贝可</w:t>
      </w:r>
      <w:r>
        <w:rPr>
          <w:rFonts w:ascii="仿宋_GB2312" w:hAnsi="仿宋_GB2312" w:cs="仿宋_GB2312" w:hint="eastAsia"/>
          <w:szCs w:val="32"/>
        </w:rPr>
        <w:t>/</w:t>
      </w:r>
      <w:r>
        <w:rPr>
          <w:rFonts w:ascii="仿宋_GB2312" w:hAnsi="仿宋_GB2312" w:cs="仿宋_GB2312" w:hint="eastAsia"/>
          <w:szCs w:val="32"/>
        </w:rPr>
        <w:t>克。</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第三条</w:t>
      </w:r>
      <w:r>
        <w:rPr>
          <w:rFonts w:ascii="仿宋_GB2312" w:hAnsi="仿宋_GB2312" w:cs="仿宋_GB2312" w:hint="eastAsia"/>
          <w:szCs w:val="32"/>
        </w:rPr>
        <w:t xml:space="preserve"> </w:t>
      </w:r>
      <w:r>
        <w:rPr>
          <w:rFonts w:ascii="仿宋_GB2312" w:hAnsi="仿宋_GB2312" w:cs="仿宋_GB2312" w:hint="eastAsia"/>
          <w:szCs w:val="32"/>
        </w:rPr>
        <w:t>本办法所称的环境辐射监测，是指企业按照生态环境保护法律法规要求，为掌握放射性流出物排放状况及其对周边辐射环境质量的影响等情况，组织开展的监测活动。</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第四条</w:t>
      </w:r>
      <w:r>
        <w:rPr>
          <w:rFonts w:ascii="黑体" w:eastAsia="黑体" w:hAnsi="黑体" w:cs="黑体" w:hint="eastAsia"/>
          <w:szCs w:val="32"/>
        </w:rPr>
        <w:t xml:space="preserve"> </w:t>
      </w:r>
      <w:r>
        <w:rPr>
          <w:rFonts w:ascii="仿宋_GB2312" w:hAnsi="仿宋_GB2312" w:cs="仿宋_GB2312" w:hint="eastAsia"/>
          <w:szCs w:val="32"/>
        </w:rPr>
        <w:t>企业是环境辐射监测及信息公开的责任主体</w:t>
      </w:r>
      <w:r>
        <w:rPr>
          <w:rFonts w:cs="仿宋_GB2312" w:hint="eastAsia"/>
          <w:szCs w:val="32"/>
        </w:rPr>
        <w:t>。企业</w:t>
      </w:r>
      <w:r>
        <w:rPr>
          <w:rFonts w:ascii="仿宋_GB2312" w:hAnsi="仿宋_GB2312" w:cs="仿宋_GB2312" w:hint="eastAsia"/>
          <w:szCs w:val="32"/>
        </w:rPr>
        <w:t>应当建立健全环</w:t>
      </w:r>
      <w:r>
        <w:rPr>
          <w:rFonts w:ascii="仿宋_GB2312" w:hAnsi="仿宋_GB2312" w:cs="仿宋_GB2312" w:hint="eastAsia"/>
          <w:szCs w:val="32"/>
        </w:rPr>
        <w:t>境辐射监测及信息公开管理制度，规范工作规程，明确工作职责，建立准确的环境信息管理台账，</w:t>
      </w:r>
      <w:r>
        <w:rPr>
          <w:rFonts w:ascii="仿宋_GB2312" w:hAnsi="仿宋_GB2312" w:cs="仿宋_GB2312" w:hint="eastAsia"/>
          <w:szCs w:val="32"/>
        </w:rPr>
        <w:lastRenderedPageBreak/>
        <w:t>妥善保存相关原始记录，科学统计归集相关环境信息。</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第五条</w:t>
      </w:r>
      <w:r>
        <w:rPr>
          <w:rFonts w:ascii="仿宋_GB2312" w:hAnsi="仿宋_GB2312" w:cs="仿宋_GB2312" w:hint="eastAsia"/>
          <w:szCs w:val="32"/>
        </w:rPr>
        <w:t xml:space="preserve"> </w:t>
      </w:r>
      <w:r>
        <w:rPr>
          <w:rFonts w:ascii="仿宋_GB2312" w:hAnsi="仿宋_GB2312" w:cs="仿宋_GB2312" w:hint="eastAsia"/>
          <w:szCs w:val="32"/>
        </w:rPr>
        <w:t>省生态环境厅组织建立需开展环境辐射监测工作的企业名录，向社会公开并动态更新。</w:t>
      </w:r>
      <w:r>
        <w:rPr>
          <w:rFonts w:cs="仿宋_GB2312"/>
          <w:szCs w:val="32"/>
          <w:lang/>
        </w:rPr>
        <w:t>各设区市和赣江新区生态环境局</w:t>
      </w:r>
      <w:r>
        <w:rPr>
          <w:rFonts w:ascii="仿宋_GB2312" w:hAnsi="仿宋_GB2312" w:cs="仿宋_GB2312" w:hint="eastAsia"/>
          <w:szCs w:val="32"/>
        </w:rPr>
        <w:t>根据《环境监管重点单位名录管理办法》</w:t>
      </w:r>
      <w:r>
        <w:rPr>
          <w:rFonts w:cs="仿宋_GB2312" w:hint="eastAsia"/>
          <w:szCs w:val="32"/>
        </w:rPr>
        <w:t>和</w:t>
      </w:r>
      <w:r>
        <w:rPr>
          <w:rFonts w:ascii="仿宋_GB2312" w:hAnsi="仿宋_GB2312" w:cs="仿宋_GB2312" w:hint="eastAsia"/>
          <w:szCs w:val="32"/>
        </w:rPr>
        <w:t>固定污染源排污许可分类管理</w:t>
      </w:r>
      <w:r>
        <w:rPr>
          <w:rFonts w:cs="仿宋_GB2312" w:hint="eastAsia"/>
          <w:szCs w:val="32"/>
        </w:rPr>
        <w:t>要求</w:t>
      </w:r>
      <w:r>
        <w:rPr>
          <w:rFonts w:ascii="仿宋_GB2312" w:hAnsi="仿宋_GB2312" w:cs="仿宋_GB2312" w:hint="eastAsia"/>
          <w:szCs w:val="32"/>
        </w:rPr>
        <w:t>，将上述企业纳入重点排污单位名录</w:t>
      </w:r>
      <w:r>
        <w:rPr>
          <w:rFonts w:cs="仿宋_GB2312" w:hint="eastAsia"/>
          <w:szCs w:val="32"/>
        </w:rPr>
        <w:t>并实施排污许可管理</w:t>
      </w:r>
      <w:r>
        <w:rPr>
          <w:rFonts w:ascii="仿宋_GB2312" w:hAnsi="仿宋_GB2312" w:cs="仿宋_GB2312" w:hint="eastAsia"/>
          <w:szCs w:val="32"/>
        </w:rPr>
        <w:t>。</w:t>
      </w:r>
    </w:p>
    <w:p w:rsidR="007F0AAE" w:rsidRDefault="00893899" w:rsidP="00A32059">
      <w:pPr>
        <w:spacing w:beforeLines="50" w:afterLines="50" w:line="560" w:lineRule="exact"/>
        <w:jc w:val="center"/>
        <w:outlineLvl w:val="0"/>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环境辐射监测</w:t>
      </w:r>
    </w:p>
    <w:p w:rsidR="007F0AAE" w:rsidRDefault="00893899">
      <w:pPr>
        <w:spacing w:line="560" w:lineRule="exact"/>
        <w:ind w:firstLineChars="200" w:firstLine="640"/>
        <w:rPr>
          <w:rFonts w:ascii="仿宋_GB2312" w:hAnsi="仿宋_GB2312" w:cs="仿宋_GB2312"/>
          <w:color w:val="FF0000"/>
          <w:szCs w:val="32"/>
        </w:rPr>
      </w:pPr>
      <w:r>
        <w:rPr>
          <w:rFonts w:ascii="黑体" w:eastAsia="黑体" w:hAnsi="黑体" w:cs="黑体" w:hint="eastAsia"/>
          <w:szCs w:val="32"/>
        </w:rPr>
        <w:t>第六条</w:t>
      </w:r>
      <w:r>
        <w:rPr>
          <w:rFonts w:ascii="仿宋_GB2312" w:hAnsi="仿宋_GB2312" w:cs="仿宋_GB2312" w:hint="eastAsia"/>
          <w:szCs w:val="32"/>
        </w:rPr>
        <w:t xml:space="preserve"> </w:t>
      </w:r>
      <w:r>
        <w:rPr>
          <w:rFonts w:ascii="仿宋_GB2312" w:hAnsi="仿宋_GB2312" w:cs="仿宋_GB2312" w:hint="eastAsia"/>
          <w:szCs w:val="32"/>
        </w:rPr>
        <w:t>企业按照《伴生放射性矿开发利用企业环境辐射监测要求（试行）》，制定环境辐射监测方案，明确放射性流出物和辐射环境质</w:t>
      </w:r>
      <w:r>
        <w:rPr>
          <w:rFonts w:ascii="仿宋_GB2312" w:hAnsi="仿宋_GB2312" w:cs="仿宋_GB2312" w:hint="eastAsia"/>
          <w:szCs w:val="32"/>
        </w:rPr>
        <w:t>量监测的介质、采样点位、监测项目、监测频次等。</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第七条</w:t>
      </w:r>
      <w:r>
        <w:rPr>
          <w:rFonts w:ascii="仿宋_GB2312" w:hAnsi="仿宋_GB2312" w:cs="仿宋_GB2312" w:hint="eastAsia"/>
          <w:szCs w:val="32"/>
        </w:rPr>
        <w:t xml:space="preserve"> </w:t>
      </w:r>
      <w:r>
        <w:rPr>
          <w:rFonts w:ascii="仿宋_GB2312" w:hAnsi="仿宋_GB2312" w:cs="仿宋_GB2312" w:hint="eastAsia"/>
          <w:szCs w:val="32"/>
        </w:rPr>
        <w:t>企业开展环境辐射监测应当遵守国家颁布的环境监测质量管理规定、环境监测技术规范和方法，依托本企业人员、场所、设备开展监测，或委托具有相应资质的机构进行监测。</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第八条</w:t>
      </w:r>
      <w:r>
        <w:rPr>
          <w:rFonts w:ascii="仿宋_GB2312" w:hAnsi="仿宋_GB2312" w:cs="仿宋_GB2312" w:hint="eastAsia"/>
          <w:szCs w:val="32"/>
        </w:rPr>
        <w:t xml:space="preserve"> </w:t>
      </w:r>
      <w:r>
        <w:rPr>
          <w:rFonts w:ascii="仿宋_GB2312" w:hAnsi="仿宋_GB2312" w:cs="仿宋_GB2312" w:hint="eastAsia"/>
          <w:szCs w:val="32"/>
        </w:rPr>
        <w:t>企业在环境辐射监测过程中发现放射性流出物排放超标的，应立即停止排放，分析原因，并向省生态环境厅和所在设区市生态环境主管部门报告。</w:t>
      </w:r>
    </w:p>
    <w:p w:rsidR="007F0AAE" w:rsidRDefault="00893899" w:rsidP="00A32059">
      <w:pPr>
        <w:spacing w:beforeLines="50" w:afterLines="50" w:line="560" w:lineRule="exact"/>
        <w:jc w:val="center"/>
        <w:outlineLvl w:val="0"/>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环境辐射监测信息公开</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第九条</w:t>
      </w:r>
      <w:r>
        <w:rPr>
          <w:rFonts w:ascii="仿宋_GB2312" w:hAnsi="仿宋_GB2312" w:cs="仿宋_GB2312" w:hint="eastAsia"/>
          <w:szCs w:val="32"/>
        </w:rPr>
        <w:t>企业按照《伴生放射性矿开发利用企业环境辐射监测年度报告格式与内容（试行）》，每年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日前编制完成上年度环境辐射监测年度报告</w:t>
      </w:r>
      <w:r>
        <w:rPr>
          <w:rFonts w:cs="仿宋_GB2312" w:hint="eastAsia"/>
          <w:szCs w:val="32"/>
        </w:rPr>
        <w:t>，</w:t>
      </w:r>
      <w:r>
        <w:rPr>
          <w:rFonts w:ascii="仿宋_GB2312" w:hAnsi="仿宋_GB2312" w:cs="仿宋_GB2312" w:hint="eastAsia"/>
          <w:szCs w:val="32"/>
        </w:rPr>
        <w:t>并向社会公开。</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第十条</w:t>
      </w:r>
      <w:r>
        <w:rPr>
          <w:rFonts w:ascii="仿宋_GB2312" w:hAnsi="仿宋_GB2312" w:cs="仿宋_GB2312" w:hint="eastAsia"/>
          <w:szCs w:val="32"/>
        </w:rPr>
        <w:t xml:space="preserve"> </w:t>
      </w:r>
      <w:r>
        <w:rPr>
          <w:rFonts w:ascii="仿宋_GB2312" w:hAnsi="仿宋_GB2312" w:cs="仿宋_GB2312" w:hint="eastAsia"/>
          <w:szCs w:val="32"/>
        </w:rPr>
        <w:t>企业在环境辐射监测方案、监测报告和年度报</w:t>
      </w:r>
      <w:r>
        <w:rPr>
          <w:rFonts w:ascii="仿宋_GB2312" w:hAnsi="仿宋_GB2312" w:cs="仿宋_GB2312" w:hint="eastAsia"/>
          <w:szCs w:val="32"/>
        </w:rPr>
        <w:lastRenderedPageBreak/>
        <w:t>告等环境辐射监测信息生成或变更完成后</w:t>
      </w:r>
      <w:r>
        <w:rPr>
          <w:rFonts w:ascii="仿宋_GB2312" w:hAnsi="仿宋_GB2312" w:cs="仿宋_GB2312" w:hint="eastAsia"/>
          <w:szCs w:val="32"/>
        </w:rPr>
        <w:t>10</w:t>
      </w:r>
      <w:r>
        <w:rPr>
          <w:rFonts w:ascii="仿宋_GB2312" w:hAnsi="仿宋_GB2312" w:cs="仿宋_GB2312" w:hint="eastAsia"/>
          <w:szCs w:val="32"/>
        </w:rPr>
        <w:t>个工作日内</w:t>
      </w:r>
      <w:r>
        <w:rPr>
          <w:rFonts w:ascii="仿宋_GB2312" w:hAnsi="微软雅黑" w:cs="宋体" w:hint="eastAsia"/>
          <w:color w:val="000000"/>
          <w:kern w:val="0"/>
          <w:szCs w:val="32"/>
          <w:lang/>
        </w:rPr>
        <w:t>依法向社会</w:t>
      </w:r>
      <w:r>
        <w:rPr>
          <w:rFonts w:ascii="仿宋_GB2312" w:hAnsi="仿宋_GB2312" w:cs="仿宋_GB2312" w:hint="eastAsia"/>
          <w:szCs w:val="32"/>
        </w:rPr>
        <w:t>公开，并对其监测结果及信息公开内容的真实性、准确性、完整性负责。</w:t>
      </w:r>
    </w:p>
    <w:p w:rsidR="007F0AAE" w:rsidRDefault="00893899">
      <w:pPr>
        <w:spacing w:line="560" w:lineRule="exact"/>
        <w:ind w:firstLineChars="200" w:firstLine="640"/>
      </w:pPr>
      <w:r>
        <w:rPr>
          <w:rFonts w:ascii="黑体" w:eastAsia="黑体" w:hAnsi="黑体" w:cs="黑体" w:hint="eastAsia"/>
          <w:szCs w:val="32"/>
        </w:rPr>
        <w:t>第十一条</w:t>
      </w:r>
      <w:r>
        <w:rPr>
          <w:rFonts w:ascii="仿宋_GB2312" w:hAnsi="仿宋_GB2312" w:cs="仿宋_GB2312" w:hint="eastAsia"/>
          <w:szCs w:val="32"/>
        </w:rPr>
        <w:t xml:space="preserve"> </w:t>
      </w:r>
      <w:r>
        <w:rPr>
          <w:rFonts w:ascii="仿宋_GB2312" w:hAnsi="仿宋_GB2312" w:cs="仿宋_GB2312" w:hint="eastAsia"/>
          <w:szCs w:val="32"/>
        </w:rPr>
        <w:t>企业在</w:t>
      </w:r>
      <w:r>
        <w:rPr>
          <w:rFonts w:cs="仿宋_GB2312" w:hint="eastAsia"/>
          <w:szCs w:val="32"/>
        </w:rPr>
        <w:t>全国排污许可证管理</w:t>
      </w:r>
      <w:r>
        <w:rPr>
          <w:rFonts w:ascii="仿宋_GB2312" w:hAnsi="仿宋_GB2312" w:cs="仿宋_GB2312" w:hint="eastAsia"/>
          <w:szCs w:val="32"/>
        </w:rPr>
        <w:t>信息平台上公开环境辐射监测信息</w:t>
      </w:r>
      <w:r>
        <w:rPr>
          <w:rFonts w:cs="仿宋_GB2312" w:hint="eastAsia"/>
          <w:szCs w:val="32"/>
        </w:rPr>
        <w:t>，</w:t>
      </w:r>
      <w:r>
        <w:rPr>
          <w:rFonts w:ascii="仿宋_GB2312" w:hAnsi="仿宋_GB2312" w:cs="仿宋_GB2312" w:hint="eastAsia"/>
          <w:szCs w:val="32"/>
        </w:rPr>
        <w:t>公开的环境辐射监测信息至少保存一年</w:t>
      </w:r>
      <w:r>
        <w:rPr>
          <w:rFonts w:cs="仿宋_GB2312" w:hint="eastAsia"/>
          <w:szCs w:val="32"/>
        </w:rPr>
        <w:t>。</w:t>
      </w:r>
      <w:r>
        <w:rPr>
          <w:rFonts w:ascii="仿宋_GB2312" w:hAnsi="仿宋_GB2312" w:cs="仿宋_GB2312" w:hint="eastAsia"/>
          <w:szCs w:val="32"/>
        </w:rPr>
        <w:t>涉及重大环境信息公开的，</w:t>
      </w:r>
      <w:r>
        <w:rPr>
          <w:rFonts w:cs="仿宋_GB2312" w:hint="eastAsia"/>
          <w:szCs w:val="32"/>
        </w:rPr>
        <w:t>应</w:t>
      </w:r>
      <w:r>
        <w:rPr>
          <w:rFonts w:ascii="仿宋_GB2312" w:hAnsi="仿宋_GB2312" w:cs="仿宋_GB2312" w:hint="eastAsia"/>
          <w:szCs w:val="32"/>
        </w:rPr>
        <w:t>按照国家有关规定请示报告。</w:t>
      </w:r>
    </w:p>
    <w:p w:rsidR="007F0AAE" w:rsidRDefault="00893899" w:rsidP="00A32059">
      <w:pPr>
        <w:spacing w:beforeLines="50" w:afterLines="50" w:line="560" w:lineRule="exact"/>
        <w:jc w:val="center"/>
        <w:outlineLvl w:val="0"/>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监督管理</w:t>
      </w:r>
    </w:p>
    <w:p w:rsidR="007F0AAE" w:rsidRDefault="00893899">
      <w:pPr>
        <w:spacing w:line="560" w:lineRule="exact"/>
        <w:ind w:firstLineChars="200" w:firstLine="640"/>
        <w:rPr>
          <w:rFonts w:ascii="仿宋_GB2312" w:hAnsi="微软雅黑" w:cs="宋体"/>
          <w:color w:val="000000"/>
          <w:kern w:val="0"/>
          <w:szCs w:val="32"/>
          <w:lang/>
        </w:rPr>
      </w:pPr>
      <w:r>
        <w:rPr>
          <w:rFonts w:ascii="黑体" w:eastAsia="黑体" w:hAnsi="黑体" w:cs="黑体" w:hint="eastAsia"/>
          <w:szCs w:val="32"/>
        </w:rPr>
        <w:t>第十二条</w:t>
      </w:r>
      <w:r>
        <w:rPr>
          <w:rFonts w:cs="仿宋_GB2312" w:hint="eastAsia"/>
          <w:szCs w:val="32"/>
        </w:rPr>
        <w:t>市、县</w:t>
      </w:r>
      <w:r>
        <w:rPr>
          <w:rFonts w:ascii="仿宋_GB2312" w:hAnsi="仿宋_GB2312" w:cs="仿宋_GB2312" w:hint="eastAsia"/>
          <w:szCs w:val="32"/>
        </w:rPr>
        <w:t>生态环境</w:t>
      </w:r>
      <w:r>
        <w:rPr>
          <w:rFonts w:cs="仿宋_GB2312" w:hint="eastAsia"/>
          <w:szCs w:val="32"/>
        </w:rPr>
        <w:t>主管部门</w:t>
      </w:r>
      <w:r>
        <w:rPr>
          <w:rFonts w:ascii="仿宋_GB2312" w:hAnsi="仿宋_GB2312" w:cs="仿宋_GB2312" w:hint="eastAsia"/>
          <w:szCs w:val="32"/>
        </w:rPr>
        <w:t>负责对辖区内企业环境辐射监测开展情况及信息公开情况进行监督检查，</w:t>
      </w:r>
      <w:r>
        <w:rPr>
          <w:rFonts w:ascii="仿宋_GB2312" w:hAnsi="微软雅黑" w:cs="宋体" w:hint="eastAsia"/>
          <w:color w:val="000000"/>
          <w:kern w:val="0"/>
          <w:szCs w:val="32"/>
          <w:lang/>
        </w:rPr>
        <w:t>鼓励运用大数据分析、人工智能等技术手段开展监督检查。监督检查</w:t>
      </w:r>
      <w:r>
        <w:rPr>
          <w:rFonts w:ascii="仿宋_GB2312" w:hAnsi="仿宋_GB2312" w:cs="仿宋_GB2312" w:hint="eastAsia"/>
          <w:szCs w:val="32"/>
        </w:rPr>
        <w:t>内容包括但不限于环境辐射监测信息报送的及时性和完整性、监测方案的合理性和可行性、监测数据的真实性和准确性、监测报告和年度报告的规范性等</w:t>
      </w:r>
      <w:r>
        <w:rPr>
          <w:rFonts w:cs="仿宋_GB2312" w:hint="eastAsia"/>
          <w:szCs w:val="32"/>
        </w:rPr>
        <w:t>。</w:t>
      </w:r>
      <w:r>
        <w:rPr>
          <w:rFonts w:ascii="仿宋_GB2312" w:hAnsi="仿宋_GB2312" w:cs="仿宋_GB2312" w:hint="eastAsia"/>
          <w:szCs w:val="32"/>
        </w:rPr>
        <w:t>对存在问题的，应及时反馈给企业并</w:t>
      </w:r>
      <w:r>
        <w:rPr>
          <w:rFonts w:cs="仿宋_GB2312" w:hint="eastAsia"/>
          <w:szCs w:val="32"/>
        </w:rPr>
        <w:t>督促整改</w:t>
      </w:r>
      <w:r>
        <w:rPr>
          <w:rFonts w:ascii="仿宋_GB2312" w:hAnsi="仿宋_GB2312" w:cs="仿宋_GB2312" w:hint="eastAsia"/>
          <w:szCs w:val="32"/>
        </w:rPr>
        <w:t>。</w:t>
      </w:r>
    </w:p>
    <w:p w:rsidR="007F0AAE" w:rsidRDefault="00893899">
      <w:pPr>
        <w:spacing w:line="560" w:lineRule="exact"/>
        <w:ind w:firstLineChars="200" w:firstLine="640"/>
        <w:rPr>
          <w:rFonts w:ascii="仿宋_GB2312" w:hAnsi="仿宋_GB2312" w:cs="仿宋_GB2312"/>
          <w:szCs w:val="32"/>
        </w:rPr>
      </w:pPr>
      <w:r>
        <w:rPr>
          <w:rFonts w:ascii="黑体" w:eastAsia="黑体" w:hAnsi="黑体" w:cs="黑体" w:hint="eastAsia"/>
          <w:szCs w:val="32"/>
        </w:rPr>
        <w:t>第十三条</w:t>
      </w:r>
      <w:r>
        <w:rPr>
          <w:rFonts w:cs="仿宋_GB2312"/>
          <w:szCs w:val="32"/>
          <w:lang/>
        </w:rPr>
        <w:t>各设区市和赣江新区生态环境局</w:t>
      </w:r>
      <w:r>
        <w:rPr>
          <w:rFonts w:ascii="仿宋_GB2312" w:hAnsi="仿宋_GB2312" w:cs="仿宋_GB2312" w:hint="eastAsia"/>
          <w:szCs w:val="32"/>
        </w:rPr>
        <w:t>加强信息归集和共享，每年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日前将辖区内企业环境辐射监测信息汇总报省生态环境厅，并将辖区内企业环境辐射监测及信息公开落实情况和监督检查情况同步报送。</w:t>
      </w:r>
    </w:p>
    <w:p w:rsidR="007F0AAE" w:rsidRDefault="00893899">
      <w:pPr>
        <w:widowControl/>
        <w:spacing w:line="560" w:lineRule="exact"/>
        <w:ind w:firstLineChars="200" w:firstLine="640"/>
        <w:rPr>
          <w:rFonts w:ascii="仿宋_GB2312" w:hAnsi="仿宋_GB2312" w:cs="仿宋_GB2312"/>
          <w:szCs w:val="32"/>
        </w:rPr>
      </w:pPr>
      <w:r>
        <w:rPr>
          <w:rFonts w:ascii="黑体" w:eastAsia="黑体" w:hAnsi="黑体" w:cs="黑体" w:hint="eastAsia"/>
          <w:szCs w:val="32"/>
        </w:rPr>
        <w:t>第十四条</w:t>
      </w:r>
      <w:r>
        <w:rPr>
          <w:rFonts w:ascii="仿宋_GB2312" w:hAnsi="仿宋_GB2312" w:cs="仿宋_GB2312" w:hint="eastAsia"/>
          <w:szCs w:val="32"/>
        </w:rPr>
        <w:t xml:space="preserve"> </w:t>
      </w:r>
      <w:r>
        <w:rPr>
          <w:rFonts w:ascii="仿宋_GB2312" w:hAnsi="仿宋_GB2312" w:cs="仿宋_GB2312" w:hint="eastAsia"/>
          <w:szCs w:val="32"/>
        </w:rPr>
        <w:t>对拒不开展环境辐射监测、不公开环境辐射监测信息和信息公开过程中有弄虚作假</w:t>
      </w:r>
      <w:r>
        <w:rPr>
          <w:rFonts w:ascii="仿宋_GB2312" w:hAnsi="仿宋_GB2312" w:cs="仿宋_GB2312" w:hint="eastAsia"/>
          <w:szCs w:val="32"/>
        </w:rPr>
        <w:t>行为，或者开展相关工作存在问题且整改不到位的</w:t>
      </w:r>
      <w:r>
        <w:rPr>
          <w:rFonts w:ascii="仿宋_GB2312" w:hAnsi="仿宋_GB2312" w:cs="仿宋_GB2312"/>
          <w:szCs w:val="32"/>
        </w:rPr>
        <w:t>企业</w:t>
      </w:r>
      <w:r>
        <w:rPr>
          <w:rFonts w:ascii="仿宋_GB2312" w:hAnsi="仿宋_GB2312" w:cs="仿宋_GB2312" w:hint="eastAsia"/>
          <w:szCs w:val="32"/>
        </w:rPr>
        <w:t>，由生态环境主管部门依法依规采取环境管理措施，对发现的违法违规行为予以责任追究</w:t>
      </w:r>
      <w:r>
        <w:rPr>
          <w:rFonts w:ascii="仿宋_GB2312" w:hAnsi="微软雅黑" w:cs="宋体" w:hint="eastAsia"/>
          <w:color w:val="000000"/>
          <w:kern w:val="0"/>
          <w:szCs w:val="32"/>
          <w:lang/>
        </w:rPr>
        <w:t>，有关行政处罚信息记入信用记录。</w:t>
      </w:r>
    </w:p>
    <w:p w:rsidR="007F0AAE" w:rsidRDefault="00893899">
      <w:pPr>
        <w:spacing w:line="560" w:lineRule="exact"/>
        <w:ind w:firstLineChars="200" w:firstLine="640"/>
        <w:rPr>
          <w:rFonts w:ascii="黑体" w:eastAsia="黑体" w:hAnsi="黑体" w:cs="黑体"/>
          <w:szCs w:val="32"/>
        </w:rPr>
      </w:pPr>
      <w:r>
        <w:rPr>
          <w:rFonts w:ascii="黑体" w:eastAsia="黑体" w:hAnsi="黑体" w:cs="宋体" w:hint="eastAsia"/>
          <w:bCs/>
          <w:color w:val="000000"/>
          <w:kern w:val="0"/>
          <w:szCs w:val="32"/>
          <w:lang/>
        </w:rPr>
        <w:t>第</w:t>
      </w:r>
      <w:r>
        <w:rPr>
          <w:rFonts w:ascii="黑体" w:eastAsia="黑体" w:hAnsi="黑体" w:cs="黑体" w:hint="eastAsia"/>
          <w:szCs w:val="32"/>
        </w:rPr>
        <w:t>十五</w:t>
      </w:r>
      <w:r>
        <w:rPr>
          <w:rFonts w:ascii="黑体" w:eastAsia="黑体" w:hAnsi="黑体" w:cs="宋体" w:hint="eastAsia"/>
          <w:bCs/>
          <w:color w:val="000000"/>
          <w:kern w:val="0"/>
          <w:szCs w:val="32"/>
          <w:lang/>
        </w:rPr>
        <w:t>条</w:t>
      </w:r>
      <w:r>
        <w:rPr>
          <w:rFonts w:ascii="仿宋_GB2312" w:hAnsi="微软雅黑" w:cs="宋体" w:hint="eastAsia"/>
          <w:color w:val="000000"/>
          <w:kern w:val="0"/>
          <w:szCs w:val="32"/>
          <w:lang/>
        </w:rPr>
        <w:t xml:space="preserve"> </w:t>
      </w:r>
      <w:r>
        <w:rPr>
          <w:rFonts w:ascii="仿宋_GB2312" w:hAnsi="微软雅黑" w:cs="宋体" w:hint="eastAsia"/>
          <w:color w:val="000000"/>
          <w:kern w:val="0"/>
          <w:szCs w:val="32"/>
          <w:lang/>
        </w:rPr>
        <w:t>生态环境主管部门在企业</w:t>
      </w:r>
      <w:r>
        <w:rPr>
          <w:rFonts w:ascii="仿宋_GB2312" w:hAnsi="仿宋_GB2312" w:cs="仿宋_GB2312" w:hint="eastAsia"/>
          <w:szCs w:val="32"/>
        </w:rPr>
        <w:t>环境辐射监测及</w:t>
      </w:r>
      <w:r>
        <w:rPr>
          <w:rFonts w:ascii="仿宋_GB2312" w:hAnsi="微软雅黑" w:cs="宋体" w:hint="eastAsia"/>
          <w:color w:val="000000"/>
          <w:kern w:val="0"/>
          <w:szCs w:val="32"/>
          <w:lang/>
        </w:rPr>
        <w:t>信</w:t>
      </w:r>
      <w:r>
        <w:rPr>
          <w:rFonts w:ascii="仿宋_GB2312" w:hAnsi="微软雅黑" w:cs="宋体" w:hint="eastAsia"/>
          <w:color w:val="000000"/>
          <w:kern w:val="0"/>
          <w:szCs w:val="32"/>
          <w:lang/>
        </w:rPr>
        <w:lastRenderedPageBreak/>
        <w:t>息公开监督管理中有玩忽职守、滥用职权、徇私舞弊行为的，</w:t>
      </w:r>
      <w:r>
        <w:rPr>
          <w:rFonts w:ascii="仿宋_GB2312" w:hint="eastAsia"/>
          <w:szCs w:val="32"/>
        </w:rPr>
        <w:t>按照相关规定严肃处理；构成犯罪的，依法移送司法机关处理。</w:t>
      </w:r>
    </w:p>
    <w:p w:rsidR="007F0AAE" w:rsidRDefault="00893899" w:rsidP="00A32059">
      <w:pPr>
        <w:spacing w:beforeLines="50" w:afterLines="50" w:line="560" w:lineRule="exact"/>
        <w:jc w:val="center"/>
        <w:outlineLvl w:val="0"/>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附则</w:t>
      </w:r>
    </w:p>
    <w:p w:rsidR="007F0AAE" w:rsidRDefault="00893899">
      <w:pPr>
        <w:widowControl/>
        <w:spacing w:line="560" w:lineRule="exact"/>
        <w:ind w:firstLineChars="200" w:firstLine="640"/>
        <w:rPr>
          <w:rFonts w:ascii="仿宋_GB2312" w:hAnsi="仿宋_GB2312" w:cs="仿宋_GB2312"/>
          <w:szCs w:val="32"/>
        </w:rPr>
      </w:pPr>
      <w:r>
        <w:rPr>
          <w:rFonts w:ascii="黑体" w:eastAsia="黑体" w:hAnsi="黑体" w:cs="黑体" w:hint="eastAsia"/>
          <w:szCs w:val="32"/>
        </w:rPr>
        <w:t>第十六条</w:t>
      </w:r>
      <w:r>
        <w:rPr>
          <w:rFonts w:ascii="仿宋_GB2312" w:hAnsi="仿宋_GB2312" w:cs="仿宋_GB2312" w:hint="eastAsia"/>
          <w:szCs w:val="32"/>
        </w:rPr>
        <w:t>本办法由江西省生态环境厅负责解释。</w:t>
      </w:r>
    </w:p>
    <w:p w:rsidR="007F0AAE" w:rsidRDefault="00893899">
      <w:pPr>
        <w:widowControl/>
        <w:spacing w:line="560" w:lineRule="exact"/>
        <w:ind w:firstLineChars="200" w:firstLine="640"/>
        <w:rPr>
          <w:rFonts w:ascii="仿宋_GB2312" w:hAnsi="仿宋_GB2312" w:cs="仿宋_GB2312"/>
          <w:szCs w:val="32"/>
        </w:rPr>
      </w:pPr>
      <w:r>
        <w:rPr>
          <w:rFonts w:ascii="黑体" w:eastAsia="黑体" w:hAnsi="黑体" w:cs="黑体" w:hint="eastAsia"/>
          <w:szCs w:val="32"/>
        </w:rPr>
        <w:t>第十七条</w:t>
      </w:r>
      <w:r>
        <w:rPr>
          <w:rFonts w:ascii="仿宋_GB2312" w:hAnsi="仿宋_GB2312" w:cs="仿宋_GB2312" w:hint="eastAsia"/>
          <w:szCs w:val="32"/>
        </w:rPr>
        <w:t>本办法自</w:t>
      </w:r>
      <w:r>
        <w:rPr>
          <w:rFonts w:ascii="仿宋_GB2312" w:hAnsi="仿宋_GB2312" w:cs="仿宋_GB2312" w:hint="eastAsia"/>
          <w:szCs w:val="32"/>
        </w:rPr>
        <w:t>2025</w:t>
      </w:r>
      <w:r>
        <w:rPr>
          <w:rFonts w:ascii="仿宋_GB2312" w:hAnsi="仿宋_GB2312" w:cs="仿宋_GB2312" w:hint="eastAsia"/>
          <w:szCs w:val="32"/>
        </w:rPr>
        <w:t>年</w:t>
      </w:r>
      <w:r>
        <w:rPr>
          <w:rFonts w:cs="仿宋_GB2312" w:hint="eastAsia"/>
          <w:szCs w:val="32"/>
        </w:rPr>
        <w:t>2</w:t>
      </w:r>
      <w:r>
        <w:rPr>
          <w:rFonts w:ascii="仿宋_GB2312" w:hAnsi="仿宋_GB2312" w:cs="仿宋_GB2312" w:hint="eastAsia"/>
          <w:szCs w:val="32"/>
        </w:rPr>
        <w:t>月</w:t>
      </w:r>
      <w:r>
        <w:rPr>
          <w:rFonts w:cs="仿宋_GB2312" w:hint="eastAsia"/>
          <w:szCs w:val="32"/>
        </w:rPr>
        <w:t>1</w:t>
      </w:r>
      <w:r>
        <w:rPr>
          <w:rFonts w:ascii="仿宋_GB2312" w:hAnsi="仿宋_GB2312" w:cs="仿宋_GB2312" w:hint="eastAsia"/>
          <w:szCs w:val="32"/>
        </w:rPr>
        <w:t>日起施行，有效期</w:t>
      </w:r>
      <w:r>
        <w:rPr>
          <w:rFonts w:ascii="仿宋_GB2312" w:hAnsi="仿宋_GB2312" w:cs="仿宋_GB2312" w:hint="eastAsia"/>
          <w:szCs w:val="32"/>
        </w:rPr>
        <w:t>2</w:t>
      </w:r>
      <w:r>
        <w:rPr>
          <w:rFonts w:ascii="仿宋_GB2312" w:hAnsi="仿宋_GB2312" w:cs="仿宋_GB2312" w:hint="eastAsia"/>
          <w:szCs w:val="32"/>
        </w:rPr>
        <w:t>年。国家有关规定与本办法不一致的，从其规定。</w:t>
      </w:r>
    </w:p>
    <w:p w:rsidR="007F0AAE" w:rsidRDefault="00893899">
      <w:pPr>
        <w:rPr>
          <w:rFonts w:ascii="黑体" w:eastAsia="黑体" w:hAnsi="黑体" w:cs="黑体"/>
          <w:szCs w:val="32"/>
        </w:rPr>
      </w:pPr>
      <w:r>
        <w:rPr>
          <w:rFonts w:ascii="仿宋_GB2312" w:hAnsi="仿宋_GB2312" w:cs="仿宋_GB2312" w:hint="eastAsia"/>
          <w:szCs w:val="32"/>
        </w:rPr>
        <w:br w:type="page"/>
      </w:r>
      <w:r>
        <w:rPr>
          <w:rFonts w:ascii="黑体" w:eastAsia="黑体" w:hAnsi="黑体" w:cs="黑体" w:hint="eastAsia"/>
          <w:spacing w:val="2"/>
          <w:szCs w:val="32"/>
        </w:rPr>
        <w:lastRenderedPageBreak/>
        <w:t>附录一</w:t>
      </w:r>
    </w:p>
    <w:p w:rsidR="007F0AAE" w:rsidRDefault="007F0AAE">
      <w:pPr>
        <w:spacing w:line="640" w:lineRule="exact"/>
        <w:rPr>
          <w:rFonts w:ascii="仿宋_GB2312" w:hAnsi="仿宋_GB2312" w:cs="仿宋_GB2312"/>
          <w:szCs w:val="32"/>
        </w:rPr>
      </w:pPr>
    </w:p>
    <w:p w:rsidR="007F0AAE" w:rsidRDefault="00893899">
      <w:pPr>
        <w:spacing w:line="640" w:lineRule="exact"/>
        <w:jc w:val="center"/>
        <w:rPr>
          <w:rFonts w:ascii="方正小标宋简体" w:eastAsia="方正小标宋简体" w:hAnsi="方正小标宋简体" w:cs="方正小标宋简体"/>
          <w:spacing w:val="9"/>
          <w:sz w:val="36"/>
          <w:szCs w:val="36"/>
        </w:rPr>
      </w:pPr>
      <w:r>
        <w:rPr>
          <w:rFonts w:ascii="方正小标宋简体" w:eastAsia="方正小标宋简体" w:hAnsi="方正小标宋简体" w:cs="方正小标宋简体" w:hint="eastAsia"/>
          <w:sz w:val="36"/>
          <w:szCs w:val="36"/>
        </w:rPr>
        <w:t>伴生放射性矿开发利用企业环境辐射监测要求</w:t>
      </w:r>
    </w:p>
    <w:p w:rsidR="007F0AAE" w:rsidRDefault="00893899">
      <w:pPr>
        <w:spacing w:line="640" w:lineRule="exact"/>
        <w:jc w:val="center"/>
        <w:rPr>
          <w:rFonts w:ascii="楷体_GB2312" w:eastAsia="楷体_GB2312" w:hAnsi="楷体_GB2312" w:cs="楷体_GB2312"/>
          <w:szCs w:val="32"/>
        </w:rPr>
      </w:pPr>
      <w:r>
        <w:rPr>
          <w:rFonts w:ascii="楷体_GB2312" w:eastAsia="楷体_GB2312" w:hAnsi="楷体_GB2312" w:cs="楷体_GB2312" w:hint="eastAsia"/>
          <w:spacing w:val="-14"/>
          <w:szCs w:val="32"/>
        </w:rPr>
        <w:t>（试行）</w:t>
      </w:r>
    </w:p>
    <w:p w:rsidR="007F0AAE" w:rsidRDefault="007F0AAE">
      <w:pPr>
        <w:spacing w:line="640" w:lineRule="exact"/>
        <w:rPr>
          <w:rFonts w:ascii="仿宋_GB2312" w:hAnsi="仿宋_GB2312" w:cs="仿宋_GB2312"/>
          <w:szCs w:val="32"/>
        </w:rPr>
      </w:pPr>
    </w:p>
    <w:p w:rsidR="007F0AAE" w:rsidRDefault="00893899">
      <w:pPr>
        <w:spacing w:line="560" w:lineRule="exact"/>
        <w:ind w:firstLineChars="200" w:firstLine="620"/>
        <w:outlineLvl w:val="0"/>
        <w:rPr>
          <w:rFonts w:ascii="黑体" w:eastAsia="黑体" w:hAnsi="黑体" w:cs="黑体"/>
          <w:szCs w:val="32"/>
        </w:rPr>
      </w:pPr>
      <w:r>
        <w:rPr>
          <w:rFonts w:ascii="黑体" w:eastAsia="黑体" w:hAnsi="黑体" w:cs="黑体" w:hint="eastAsia"/>
          <w:spacing w:val="-5"/>
          <w:szCs w:val="32"/>
        </w:rPr>
        <w:t>1.</w:t>
      </w:r>
      <w:r>
        <w:rPr>
          <w:rFonts w:ascii="黑体" w:eastAsia="黑体" w:hAnsi="黑体" w:cs="黑体" w:hint="eastAsia"/>
          <w:spacing w:val="-5"/>
          <w:szCs w:val="32"/>
        </w:rPr>
        <w:t>适用范围</w:t>
      </w:r>
    </w:p>
    <w:p w:rsidR="007F0AAE" w:rsidRDefault="00893899">
      <w:pPr>
        <w:pStyle w:val="a4"/>
        <w:spacing w:after="0" w:line="560" w:lineRule="exact"/>
        <w:ind w:firstLineChars="200" w:firstLine="648"/>
        <w:rPr>
          <w:rFonts w:ascii="仿宋_GB2312" w:eastAsia="仿宋_GB2312" w:hAnsi="仿宋_GB2312" w:cs="仿宋_GB2312"/>
        </w:rPr>
      </w:pPr>
      <w:r>
        <w:rPr>
          <w:rFonts w:ascii="仿宋_GB2312" w:eastAsia="仿宋_GB2312" w:hAnsi="仿宋_GB2312" w:cs="仿宋_GB2312" w:hint="eastAsia"/>
          <w:spacing w:val="2"/>
        </w:rPr>
        <w:t>本要求适用于除铀（</w:t>
      </w:r>
      <w:r>
        <w:rPr>
          <w:rFonts w:ascii="仿宋_GB2312" w:eastAsia="仿宋_GB2312" w:hAnsi="仿宋_GB2312" w:cs="仿宋_GB2312" w:hint="eastAsia"/>
          <w:spacing w:val="2"/>
        </w:rPr>
        <w:t>钍</w:t>
      </w:r>
      <w:r>
        <w:rPr>
          <w:rFonts w:ascii="仿宋_GB2312" w:eastAsia="仿宋_GB2312" w:hAnsi="仿宋_GB2312" w:cs="仿宋_GB2312" w:hint="eastAsia"/>
          <w:spacing w:val="2"/>
        </w:rPr>
        <w:t>）矿外所有矿产资源开发利用活动中原</w:t>
      </w:r>
      <w:r>
        <w:rPr>
          <w:rFonts w:ascii="仿宋_GB2312" w:eastAsia="仿宋_GB2312" w:hAnsi="仿宋_GB2312" w:cs="仿宋_GB2312" w:hint="eastAsia"/>
        </w:rPr>
        <w:t>矿、中间产品、尾矿（渣）或者其他残留物中铀（钍）系单个核素含量超过</w:t>
      </w:r>
      <w:r>
        <w:rPr>
          <w:rFonts w:ascii="仿宋_GB2312" w:eastAsia="仿宋_GB2312" w:hAnsi="仿宋_GB2312" w:cs="仿宋_GB2312" w:hint="eastAsia"/>
        </w:rPr>
        <w:t>1</w:t>
      </w:r>
      <w:r>
        <w:rPr>
          <w:rFonts w:ascii="仿宋_GB2312" w:eastAsia="仿宋_GB2312" w:hAnsi="仿宋_GB2312" w:cs="仿宋_GB2312" w:hint="eastAsia"/>
        </w:rPr>
        <w:t>贝可</w:t>
      </w:r>
      <w:r>
        <w:rPr>
          <w:rFonts w:ascii="仿宋_GB2312" w:eastAsia="仿宋_GB2312" w:hAnsi="仿宋_GB2312" w:cs="仿宋_GB2312" w:hint="eastAsia"/>
        </w:rPr>
        <w:t>/</w:t>
      </w:r>
      <w:r>
        <w:rPr>
          <w:rFonts w:ascii="仿宋_GB2312" w:eastAsia="仿宋_GB2312" w:hAnsi="仿宋_GB2312" w:cs="仿宋_GB2312" w:hint="eastAsia"/>
        </w:rPr>
        <w:t>克（</w:t>
      </w:r>
      <w:r>
        <w:rPr>
          <w:rFonts w:ascii="仿宋_GB2312" w:eastAsia="仿宋_GB2312" w:hAnsi="仿宋_GB2312" w:cs="仿宋_GB2312" w:hint="eastAsia"/>
        </w:rPr>
        <w:t>Bq/g</w:t>
      </w:r>
      <w:r>
        <w:rPr>
          <w:rFonts w:ascii="仿宋_GB2312" w:eastAsia="仿宋_GB2312" w:hAnsi="仿宋_GB2312" w:cs="仿宋_GB2312" w:hint="eastAsia"/>
        </w:rPr>
        <w:t>）的企业自行开</w:t>
      </w:r>
      <w:r>
        <w:rPr>
          <w:rFonts w:ascii="仿宋_GB2312" w:eastAsia="仿宋_GB2312" w:hAnsi="仿宋_GB2312" w:cs="仿宋_GB2312" w:hint="eastAsia"/>
          <w:spacing w:val="-1"/>
        </w:rPr>
        <w:t>展环境辐射监测。</w:t>
      </w:r>
    </w:p>
    <w:p w:rsidR="007F0AAE" w:rsidRDefault="00893899">
      <w:pPr>
        <w:spacing w:line="560" w:lineRule="exact"/>
        <w:ind w:firstLineChars="200" w:firstLine="628"/>
        <w:outlineLvl w:val="0"/>
        <w:rPr>
          <w:rFonts w:ascii="黑体" w:eastAsia="黑体" w:hAnsi="黑体" w:cs="黑体"/>
          <w:szCs w:val="32"/>
        </w:rPr>
      </w:pPr>
      <w:r>
        <w:rPr>
          <w:rFonts w:ascii="黑体" w:eastAsia="黑体" w:hAnsi="黑体" w:cs="黑体" w:hint="eastAsia"/>
          <w:spacing w:val="-3"/>
          <w:szCs w:val="32"/>
        </w:rPr>
        <w:t>2.</w:t>
      </w:r>
      <w:r>
        <w:rPr>
          <w:rFonts w:ascii="黑体" w:eastAsia="黑体" w:hAnsi="黑体" w:cs="黑体" w:hint="eastAsia"/>
          <w:spacing w:val="-3"/>
          <w:szCs w:val="32"/>
        </w:rPr>
        <w:t>术语和定义</w:t>
      </w:r>
    </w:p>
    <w:p w:rsidR="007F0AAE" w:rsidRDefault="00893899">
      <w:pPr>
        <w:spacing w:line="560" w:lineRule="exact"/>
        <w:ind w:firstLineChars="200" w:firstLine="612"/>
        <w:outlineLvl w:val="1"/>
        <w:rPr>
          <w:rFonts w:ascii="楷体_GB2312" w:eastAsia="楷体_GB2312" w:hAnsi="楷体_GB2312" w:cs="楷体_GB2312"/>
          <w:spacing w:val="-7"/>
          <w:szCs w:val="32"/>
        </w:rPr>
      </w:pPr>
      <w:r>
        <w:rPr>
          <w:rFonts w:ascii="楷体_GB2312" w:eastAsia="楷体_GB2312" w:hAnsi="楷体_GB2312" w:cs="楷体_GB2312" w:hint="eastAsia"/>
          <w:spacing w:val="-7"/>
          <w:szCs w:val="32"/>
        </w:rPr>
        <w:t xml:space="preserve">2.1 </w:t>
      </w:r>
      <w:r>
        <w:rPr>
          <w:rFonts w:ascii="楷体_GB2312" w:eastAsia="楷体_GB2312" w:hAnsi="楷体_GB2312" w:cs="楷体_GB2312" w:hint="eastAsia"/>
          <w:spacing w:val="-7"/>
          <w:szCs w:val="32"/>
        </w:rPr>
        <w:t>流出物</w:t>
      </w:r>
    </w:p>
    <w:p w:rsidR="007F0AAE" w:rsidRDefault="00893899">
      <w:pPr>
        <w:pStyle w:val="a4"/>
        <w:spacing w:after="0" w:line="560" w:lineRule="exact"/>
        <w:ind w:firstLineChars="200" w:firstLine="656"/>
        <w:rPr>
          <w:rFonts w:ascii="仿宋_GB2312" w:eastAsia="仿宋_GB2312" w:hAnsi="仿宋_GB2312" w:cs="仿宋_GB2312"/>
        </w:rPr>
      </w:pPr>
      <w:r>
        <w:rPr>
          <w:rFonts w:ascii="仿宋_GB2312" w:eastAsia="仿宋_GB2312" w:hAnsi="仿宋_GB2312" w:cs="仿宋_GB2312" w:hint="eastAsia"/>
          <w:spacing w:val="4"/>
        </w:rPr>
        <w:t>实践中源所造成的以气体、气溶胶、粉尘或液体等形态排入环</w:t>
      </w:r>
      <w:r>
        <w:rPr>
          <w:rFonts w:ascii="仿宋_GB2312" w:eastAsia="仿宋_GB2312" w:hAnsi="仿宋_GB2312" w:cs="仿宋_GB2312" w:hint="eastAsia"/>
        </w:rPr>
        <w:t>境的通常情况下可在环境中得到稀释和弥散的</w:t>
      </w:r>
      <w:r>
        <w:rPr>
          <w:rFonts w:ascii="仿宋_GB2312" w:eastAsia="仿宋_GB2312" w:hAnsi="仿宋_GB2312" w:cs="仿宋_GB2312" w:hint="eastAsia"/>
          <w:spacing w:val="-1"/>
        </w:rPr>
        <w:t>放射性物质。</w:t>
      </w:r>
    </w:p>
    <w:p w:rsidR="007F0AAE" w:rsidRDefault="00893899">
      <w:pPr>
        <w:spacing w:line="560" w:lineRule="exact"/>
        <w:ind w:firstLineChars="200" w:firstLine="612"/>
        <w:outlineLvl w:val="1"/>
        <w:rPr>
          <w:rFonts w:ascii="楷体_GB2312" w:eastAsia="楷体_GB2312" w:hAnsi="楷体_GB2312" w:cs="楷体_GB2312"/>
          <w:szCs w:val="32"/>
        </w:rPr>
      </w:pPr>
      <w:r>
        <w:rPr>
          <w:rFonts w:ascii="楷体_GB2312" w:eastAsia="楷体_GB2312" w:hAnsi="楷体_GB2312" w:cs="楷体_GB2312" w:hint="eastAsia"/>
          <w:spacing w:val="-7"/>
          <w:szCs w:val="32"/>
        </w:rPr>
        <w:t>2.2</w:t>
      </w:r>
      <w:r>
        <w:rPr>
          <w:rFonts w:ascii="楷体_GB2312" w:eastAsia="楷体_GB2312" w:hAnsi="楷体_GB2312" w:cs="楷体_GB2312" w:hint="eastAsia"/>
          <w:spacing w:val="-7"/>
          <w:szCs w:val="32"/>
        </w:rPr>
        <w:t>辐射环境监测</w:t>
      </w:r>
    </w:p>
    <w:p w:rsidR="007F0AAE" w:rsidRDefault="00893899">
      <w:pPr>
        <w:pStyle w:val="a4"/>
        <w:spacing w:after="0" w:line="560" w:lineRule="exact"/>
        <w:ind w:firstLineChars="200" w:firstLine="624"/>
        <w:rPr>
          <w:rFonts w:ascii="仿宋_GB2312" w:eastAsia="仿宋_GB2312" w:hAnsi="仿宋_GB2312" w:cs="仿宋_GB2312"/>
          <w:spacing w:val="9"/>
        </w:rPr>
      </w:pPr>
      <w:r>
        <w:rPr>
          <w:rFonts w:ascii="仿宋_GB2312" w:eastAsia="仿宋_GB2312" w:hAnsi="仿宋_GB2312" w:cs="仿宋_GB2312" w:hint="eastAsia"/>
          <w:spacing w:val="-4"/>
        </w:rPr>
        <w:t>在源的所在场所边界以外环境中所进行的辐射监测。</w:t>
      </w:r>
    </w:p>
    <w:p w:rsidR="007F0AAE" w:rsidRDefault="00893899">
      <w:pPr>
        <w:pStyle w:val="a4"/>
        <w:spacing w:after="0" w:line="560" w:lineRule="exact"/>
        <w:ind w:firstLineChars="200" w:firstLine="632"/>
        <w:outlineLvl w:val="0"/>
        <w:rPr>
          <w:rFonts w:ascii="黑体" w:eastAsia="黑体" w:hAnsi="黑体" w:cs="黑体"/>
        </w:rPr>
      </w:pPr>
      <w:r>
        <w:rPr>
          <w:rFonts w:ascii="黑体" w:eastAsia="黑体" w:hAnsi="黑体" w:cs="黑体" w:hint="eastAsia"/>
          <w:spacing w:val="-2"/>
        </w:rPr>
        <w:t>3.</w:t>
      </w:r>
      <w:r>
        <w:rPr>
          <w:rFonts w:ascii="黑体" w:eastAsia="黑体" w:hAnsi="黑体" w:cs="黑体" w:hint="eastAsia"/>
          <w:spacing w:val="-2"/>
        </w:rPr>
        <w:t>监测目的和要求</w:t>
      </w:r>
    </w:p>
    <w:p w:rsidR="007F0AAE" w:rsidRDefault="00893899">
      <w:pPr>
        <w:spacing w:line="560" w:lineRule="exact"/>
        <w:ind w:firstLineChars="200" w:firstLine="624"/>
        <w:outlineLvl w:val="1"/>
        <w:rPr>
          <w:rFonts w:ascii="楷体_GB2312" w:eastAsia="楷体_GB2312" w:hAnsi="楷体_GB2312" w:cs="楷体_GB2312"/>
          <w:szCs w:val="32"/>
        </w:rPr>
      </w:pPr>
      <w:r>
        <w:rPr>
          <w:rFonts w:ascii="楷体_GB2312" w:eastAsia="楷体_GB2312" w:hAnsi="楷体_GB2312" w:cs="楷体_GB2312" w:hint="eastAsia"/>
          <w:spacing w:val="-4"/>
          <w:szCs w:val="32"/>
        </w:rPr>
        <w:t>3.1</w:t>
      </w:r>
      <w:r>
        <w:rPr>
          <w:rFonts w:ascii="楷体_GB2312" w:eastAsia="楷体_GB2312" w:hAnsi="楷体_GB2312" w:cs="楷体_GB2312" w:hint="eastAsia"/>
          <w:spacing w:val="-4"/>
          <w:szCs w:val="32"/>
        </w:rPr>
        <w:t>监测目的</w:t>
      </w:r>
    </w:p>
    <w:p w:rsidR="007F0AAE" w:rsidRDefault="00893899">
      <w:pPr>
        <w:pStyle w:val="a4"/>
        <w:spacing w:after="0" w:line="560" w:lineRule="exact"/>
        <w:ind w:firstLineChars="200" w:firstLine="628"/>
        <w:rPr>
          <w:rFonts w:ascii="仿宋_GB2312" w:eastAsia="仿宋_GB2312" w:hAnsi="仿宋_GB2312" w:cs="仿宋_GB2312"/>
        </w:rPr>
      </w:pPr>
      <w:r>
        <w:rPr>
          <w:rFonts w:ascii="仿宋_GB2312" w:eastAsia="仿宋_GB2312" w:hAnsi="仿宋_GB2312" w:cs="仿宋_GB2312" w:hint="eastAsia"/>
          <w:spacing w:val="-3"/>
        </w:rPr>
        <w:t>（</w:t>
      </w:r>
      <w:r>
        <w:rPr>
          <w:rFonts w:ascii="仿宋_GB2312" w:eastAsia="仿宋_GB2312" w:hAnsi="仿宋_GB2312" w:cs="仿宋_GB2312" w:hint="eastAsia"/>
          <w:spacing w:val="-3"/>
        </w:rPr>
        <w:t>1</w:t>
      </w:r>
      <w:r>
        <w:rPr>
          <w:rFonts w:ascii="仿宋_GB2312" w:eastAsia="仿宋_GB2312" w:hAnsi="仿宋_GB2312" w:cs="仿宋_GB2312" w:hint="eastAsia"/>
          <w:spacing w:val="-3"/>
        </w:rPr>
        <w:t>）判断伴生放射性矿开发利用活动流出物是否达标排放；</w:t>
      </w:r>
    </w:p>
    <w:p w:rsidR="007F0AAE" w:rsidRDefault="00893899">
      <w:pPr>
        <w:pStyle w:val="a4"/>
        <w:spacing w:after="0" w:line="560" w:lineRule="exact"/>
        <w:ind w:firstLineChars="200" w:firstLine="628"/>
        <w:rPr>
          <w:rFonts w:ascii="仿宋_GB2312" w:eastAsia="仿宋_GB2312" w:hAnsi="仿宋_GB2312" w:cs="仿宋_GB2312"/>
        </w:rPr>
      </w:pPr>
      <w:r>
        <w:rPr>
          <w:rFonts w:ascii="仿宋_GB2312" w:eastAsia="仿宋_GB2312" w:hAnsi="仿宋_GB2312" w:cs="仿宋_GB2312" w:hint="eastAsia"/>
          <w:spacing w:val="-3"/>
        </w:rPr>
        <w:t>（</w:t>
      </w:r>
      <w:r>
        <w:rPr>
          <w:rFonts w:ascii="仿宋_GB2312" w:eastAsia="仿宋_GB2312" w:hAnsi="仿宋_GB2312" w:cs="仿宋_GB2312" w:hint="eastAsia"/>
          <w:spacing w:val="-3"/>
        </w:rPr>
        <w:t>2</w:t>
      </w:r>
      <w:r>
        <w:rPr>
          <w:rFonts w:ascii="仿宋_GB2312" w:eastAsia="仿宋_GB2312" w:hAnsi="仿宋_GB2312" w:cs="仿宋_GB2312" w:hint="eastAsia"/>
          <w:spacing w:val="-3"/>
        </w:rPr>
        <w:t>）掌握活动期间辐射环境质量，积累辐射环境水平数据，掌</w:t>
      </w:r>
      <w:r>
        <w:rPr>
          <w:rFonts w:ascii="仿宋_GB2312" w:eastAsia="仿宋_GB2312" w:hAnsi="仿宋_GB2312" w:cs="仿宋_GB2312" w:hint="eastAsia"/>
          <w:spacing w:val="2"/>
        </w:rPr>
        <w:t>握辐射环境质量的变化趋势，总结辐射环境的变化规律，了</w:t>
      </w:r>
      <w:r>
        <w:rPr>
          <w:rFonts w:ascii="仿宋_GB2312" w:eastAsia="仿宋_GB2312" w:hAnsi="仿宋_GB2312" w:cs="仿宋_GB2312" w:hint="eastAsia"/>
          <w:spacing w:val="1"/>
        </w:rPr>
        <w:t>解辐射</w:t>
      </w:r>
      <w:r>
        <w:rPr>
          <w:rFonts w:ascii="仿宋_GB2312" w:eastAsia="仿宋_GB2312" w:hAnsi="仿宋_GB2312" w:cs="仿宋_GB2312" w:hint="eastAsia"/>
          <w:spacing w:val="-1"/>
        </w:rPr>
        <w:t>环境水平是否异常，为辐射环境管理提供依据。</w:t>
      </w:r>
    </w:p>
    <w:p w:rsidR="007F0AAE" w:rsidRDefault="00893899">
      <w:pPr>
        <w:spacing w:line="560" w:lineRule="exact"/>
        <w:ind w:firstLineChars="200" w:firstLine="608"/>
        <w:outlineLvl w:val="1"/>
        <w:rPr>
          <w:rFonts w:ascii="楷体_GB2312" w:eastAsia="楷体_GB2312" w:hAnsi="楷体_GB2312" w:cs="楷体_GB2312"/>
          <w:szCs w:val="32"/>
        </w:rPr>
      </w:pPr>
      <w:r>
        <w:rPr>
          <w:rFonts w:ascii="楷体_GB2312" w:eastAsia="楷体_GB2312" w:hAnsi="楷体_GB2312" w:cs="楷体_GB2312" w:hint="eastAsia"/>
          <w:spacing w:val="-8"/>
          <w:szCs w:val="32"/>
        </w:rPr>
        <w:lastRenderedPageBreak/>
        <w:t>3.2</w:t>
      </w:r>
      <w:r>
        <w:rPr>
          <w:rFonts w:ascii="楷体_GB2312" w:eastAsia="楷体_GB2312" w:hAnsi="楷体_GB2312" w:cs="楷体_GB2312" w:hint="eastAsia"/>
          <w:spacing w:val="-8"/>
          <w:szCs w:val="32"/>
        </w:rPr>
        <w:t>监测要求</w:t>
      </w:r>
    </w:p>
    <w:p w:rsidR="007F0AAE" w:rsidRDefault="00893899">
      <w:pPr>
        <w:spacing w:line="560" w:lineRule="exact"/>
        <w:ind w:firstLineChars="200" w:firstLine="624"/>
        <w:rPr>
          <w:rFonts w:ascii="仿宋_GB2312" w:hAnsi="仿宋_GB2312" w:cs="仿宋_GB2312"/>
          <w:spacing w:val="-4"/>
          <w:szCs w:val="32"/>
        </w:rPr>
      </w:pPr>
      <w:r>
        <w:rPr>
          <w:rFonts w:ascii="仿宋_GB2312" w:hAnsi="仿宋_GB2312" w:cs="仿宋_GB2312" w:hint="eastAsia"/>
          <w:spacing w:val="-4"/>
          <w:szCs w:val="32"/>
        </w:rPr>
        <w:t>（</w:t>
      </w:r>
      <w:r>
        <w:rPr>
          <w:rFonts w:ascii="仿宋_GB2312" w:hAnsi="仿宋_GB2312" w:cs="仿宋_GB2312" w:hint="eastAsia"/>
          <w:spacing w:val="-4"/>
          <w:szCs w:val="32"/>
        </w:rPr>
        <w:t>1</w:t>
      </w:r>
      <w:r>
        <w:rPr>
          <w:rFonts w:ascii="仿宋_GB2312" w:hAnsi="仿宋_GB2312" w:cs="仿宋_GB2312" w:hint="eastAsia"/>
          <w:spacing w:val="-4"/>
          <w:szCs w:val="32"/>
        </w:rPr>
        <w:t>）应编制环境辐射监测方案，并向社会公开；</w:t>
      </w:r>
    </w:p>
    <w:p w:rsidR="007F0AAE" w:rsidRDefault="00893899">
      <w:pPr>
        <w:pStyle w:val="a4"/>
        <w:spacing w:after="0" w:line="560" w:lineRule="exact"/>
        <w:ind w:firstLineChars="200" w:firstLine="624"/>
        <w:rPr>
          <w:rFonts w:ascii="仿宋_GB2312" w:eastAsia="仿宋_GB2312" w:hAnsi="仿宋_GB2312" w:cs="仿宋_GB2312"/>
        </w:rPr>
      </w:pPr>
      <w:r>
        <w:rPr>
          <w:rFonts w:ascii="仿宋_GB2312" w:eastAsia="仿宋_GB2312" w:hAnsi="仿宋_GB2312" w:cs="仿宋_GB2312" w:hint="eastAsia"/>
          <w:spacing w:val="-4"/>
        </w:rPr>
        <w:t>（</w:t>
      </w:r>
      <w:r>
        <w:rPr>
          <w:rFonts w:ascii="仿宋_GB2312" w:eastAsia="仿宋_GB2312" w:hAnsi="仿宋_GB2312" w:cs="仿宋_GB2312"/>
          <w:spacing w:val="-4"/>
        </w:rPr>
        <w:t>2</w:t>
      </w:r>
      <w:r>
        <w:rPr>
          <w:rFonts w:ascii="仿宋_GB2312" w:eastAsia="仿宋_GB2312" w:hAnsi="仿宋_GB2312" w:cs="仿宋_GB2312" w:hint="eastAsia"/>
          <w:spacing w:val="-4"/>
        </w:rPr>
        <w:t>）</w:t>
      </w:r>
      <w:r>
        <w:rPr>
          <w:rFonts w:ascii="仿宋_GB2312" w:eastAsia="仿宋_GB2312" w:hAnsi="仿宋_GB2312" w:cs="仿宋_GB2312" w:hint="eastAsia"/>
          <w:spacing w:val="-13"/>
        </w:rPr>
        <w:t>环境辐射监测方案可根据活动期间的变化、监测经验和数据</w:t>
      </w:r>
      <w:r>
        <w:rPr>
          <w:rFonts w:ascii="仿宋_GB2312" w:eastAsia="仿宋_GB2312" w:hAnsi="仿宋_GB2312" w:cs="仿宋_GB2312" w:hint="eastAsia"/>
          <w:spacing w:val="-17"/>
        </w:rPr>
        <w:t>的积累进行调整；</w:t>
      </w:r>
    </w:p>
    <w:p w:rsidR="007F0AAE" w:rsidRDefault="00893899">
      <w:pPr>
        <w:pStyle w:val="a4"/>
        <w:spacing w:after="0" w:line="560" w:lineRule="exact"/>
        <w:ind w:firstLineChars="200" w:firstLine="648"/>
        <w:rPr>
          <w:rFonts w:ascii="仿宋_GB2312" w:eastAsia="仿宋_GB2312" w:hAnsi="仿宋_GB2312" w:cs="仿宋_GB2312"/>
        </w:rPr>
      </w:pPr>
      <w:r>
        <w:rPr>
          <w:rFonts w:ascii="仿宋_GB2312" w:eastAsia="仿宋_GB2312" w:hAnsi="仿宋_GB2312" w:cs="仿宋_GB2312" w:hint="eastAsia"/>
          <w:spacing w:val="2"/>
        </w:rPr>
        <w:t>（</w:t>
      </w:r>
      <w:r>
        <w:rPr>
          <w:rFonts w:ascii="仿宋_GB2312" w:eastAsia="仿宋_GB2312" w:hAnsi="仿宋_GB2312" w:cs="仿宋_GB2312" w:hint="eastAsia"/>
          <w:spacing w:val="2"/>
        </w:rPr>
        <w:t>3</w:t>
      </w:r>
      <w:r>
        <w:rPr>
          <w:rFonts w:ascii="仿宋_GB2312" w:eastAsia="仿宋_GB2312" w:hAnsi="仿宋_GB2312" w:cs="仿宋_GB2312" w:hint="eastAsia"/>
          <w:spacing w:val="2"/>
        </w:rPr>
        <w:t>）流出物监测方案要考虑伴生铀</w:t>
      </w:r>
      <w:r>
        <w:rPr>
          <w:rFonts w:ascii="仿宋_GB2312" w:eastAsia="仿宋_GB2312" w:hAnsi="仿宋_GB2312" w:cs="仿宋_GB2312" w:hint="eastAsia"/>
          <w:spacing w:val="2"/>
        </w:rPr>
        <w:t>/</w:t>
      </w:r>
      <w:r>
        <w:rPr>
          <w:rFonts w:ascii="仿宋_GB2312" w:eastAsia="仿宋_GB2312" w:hAnsi="仿宋_GB2312" w:cs="仿宋_GB2312" w:hint="eastAsia"/>
          <w:spacing w:val="2"/>
        </w:rPr>
        <w:t>钍元素的种类和工艺特点</w:t>
      </w:r>
      <w:r>
        <w:rPr>
          <w:rFonts w:ascii="仿宋_GB2312" w:eastAsia="仿宋_GB2312" w:hAnsi="仿宋_GB2312" w:cs="仿宋_GB2312" w:hint="eastAsia"/>
          <w:spacing w:val="-7"/>
        </w:rPr>
        <w:t>等因素；</w:t>
      </w:r>
    </w:p>
    <w:p w:rsidR="007F0AAE" w:rsidRDefault="00893899">
      <w:pPr>
        <w:pStyle w:val="a4"/>
        <w:spacing w:after="0" w:line="560" w:lineRule="exact"/>
        <w:ind w:firstLineChars="200" w:firstLine="648"/>
        <w:rPr>
          <w:rFonts w:ascii="仿宋_GB2312" w:eastAsia="仿宋_GB2312" w:hAnsi="仿宋_GB2312" w:cs="仿宋_GB2312"/>
        </w:rPr>
      </w:pPr>
      <w:r>
        <w:rPr>
          <w:rFonts w:ascii="仿宋_GB2312" w:eastAsia="仿宋_GB2312" w:hAnsi="仿宋_GB2312" w:cs="仿宋_GB2312" w:hint="eastAsia"/>
          <w:spacing w:val="2"/>
        </w:rPr>
        <w:t>（</w:t>
      </w:r>
      <w:r>
        <w:rPr>
          <w:rFonts w:ascii="仿宋_GB2312" w:eastAsia="仿宋_GB2312" w:hAnsi="仿宋_GB2312" w:cs="仿宋_GB2312" w:hint="eastAsia"/>
          <w:spacing w:val="2"/>
        </w:rPr>
        <w:t>4</w:t>
      </w:r>
      <w:r>
        <w:rPr>
          <w:rFonts w:ascii="仿宋_GB2312" w:eastAsia="仿宋_GB2312" w:hAnsi="仿宋_GB2312" w:cs="仿宋_GB2312" w:hint="eastAsia"/>
          <w:spacing w:val="2"/>
        </w:rPr>
        <w:t>）辐射环境监测方案除要考虑伴生铀</w:t>
      </w:r>
      <w:r>
        <w:rPr>
          <w:rFonts w:ascii="仿宋_GB2312" w:eastAsia="仿宋_GB2312" w:hAnsi="仿宋_GB2312" w:cs="仿宋_GB2312" w:hint="eastAsia"/>
          <w:spacing w:val="2"/>
        </w:rPr>
        <w:t>/</w:t>
      </w:r>
      <w:r>
        <w:rPr>
          <w:rFonts w:ascii="仿宋_GB2312" w:eastAsia="仿宋_GB2312" w:hAnsi="仿宋_GB2312" w:cs="仿宋_GB2312" w:hint="eastAsia"/>
          <w:spacing w:val="2"/>
        </w:rPr>
        <w:t>钍元素的种类外，还</w:t>
      </w:r>
      <w:r>
        <w:rPr>
          <w:rFonts w:ascii="仿宋_GB2312" w:eastAsia="仿宋_GB2312" w:hAnsi="仿宋_GB2312" w:cs="仿宋_GB2312" w:hint="eastAsia"/>
          <w:spacing w:val="-2"/>
        </w:rPr>
        <w:t>要考虑环境特征、周围居民点和其他敏感点；</w:t>
      </w:r>
    </w:p>
    <w:p w:rsidR="007F0AAE" w:rsidRDefault="00893899">
      <w:pPr>
        <w:pStyle w:val="a4"/>
        <w:spacing w:after="0" w:line="560" w:lineRule="exact"/>
        <w:ind w:firstLineChars="200" w:firstLine="628"/>
        <w:rPr>
          <w:rFonts w:ascii="仿宋_GB2312" w:eastAsia="仿宋_GB2312" w:hAnsi="仿宋_GB2312" w:cs="仿宋_GB2312"/>
        </w:rPr>
      </w:pPr>
      <w:r>
        <w:rPr>
          <w:rFonts w:ascii="仿宋_GB2312" w:eastAsia="仿宋_GB2312" w:hAnsi="仿宋_GB2312" w:cs="仿宋_GB2312" w:hint="eastAsia"/>
          <w:spacing w:val="-3"/>
        </w:rPr>
        <w:t>（</w:t>
      </w:r>
      <w:r>
        <w:rPr>
          <w:rFonts w:ascii="仿宋_GB2312" w:eastAsia="仿宋_GB2312" w:hAnsi="仿宋_GB2312" w:cs="仿宋_GB2312" w:hint="eastAsia"/>
          <w:spacing w:val="-3"/>
        </w:rPr>
        <w:t>5</w:t>
      </w:r>
      <w:r>
        <w:rPr>
          <w:rFonts w:ascii="仿宋_GB2312" w:eastAsia="仿宋_GB2312" w:hAnsi="仿宋_GB2312" w:cs="仿宋_GB2312" w:hint="eastAsia"/>
          <w:spacing w:val="-3"/>
        </w:rPr>
        <w:t>）辐射环境监测的点位应包括监测范围内辐射环境本底调查</w:t>
      </w:r>
      <w:r>
        <w:rPr>
          <w:rFonts w:ascii="仿宋_GB2312" w:eastAsia="仿宋_GB2312" w:hAnsi="仿宋_GB2312" w:cs="仿宋_GB2312" w:hint="eastAsia"/>
          <w:spacing w:val="-10"/>
        </w:rPr>
        <w:t>的点位。</w:t>
      </w:r>
    </w:p>
    <w:p w:rsidR="007F0AAE" w:rsidRDefault="00893899">
      <w:pPr>
        <w:spacing w:line="560" w:lineRule="exact"/>
        <w:ind w:firstLineChars="200" w:firstLine="632"/>
        <w:outlineLvl w:val="0"/>
        <w:rPr>
          <w:rFonts w:ascii="黑体" w:eastAsia="黑体" w:hAnsi="黑体" w:cs="黑体"/>
          <w:szCs w:val="32"/>
        </w:rPr>
      </w:pPr>
      <w:r>
        <w:rPr>
          <w:rFonts w:ascii="黑体" w:eastAsia="黑体" w:hAnsi="黑体" w:cs="黑体" w:hint="eastAsia"/>
          <w:spacing w:val="-2"/>
          <w:szCs w:val="32"/>
        </w:rPr>
        <w:t>4.</w:t>
      </w:r>
      <w:r>
        <w:rPr>
          <w:rFonts w:ascii="黑体" w:eastAsia="黑体" w:hAnsi="黑体" w:cs="黑体" w:hint="eastAsia"/>
          <w:spacing w:val="-2"/>
          <w:szCs w:val="32"/>
        </w:rPr>
        <w:t>流出物监测</w:t>
      </w:r>
    </w:p>
    <w:p w:rsidR="007F0AAE" w:rsidRDefault="00893899">
      <w:pPr>
        <w:pStyle w:val="a4"/>
        <w:spacing w:after="0" w:line="560" w:lineRule="exact"/>
        <w:ind w:firstLineChars="200" w:firstLine="632"/>
        <w:rPr>
          <w:rFonts w:ascii="仿宋_GB2312" w:eastAsia="仿宋_GB2312" w:hAnsi="仿宋_GB2312" w:cs="仿宋_GB2312"/>
          <w:spacing w:val="-2"/>
        </w:rPr>
      </w:pPr>
      <w:r>
        <w:rPr>
          <w:rFonts w:ascii="仿宋_GB2312" w:eastAsia="仿宋_GB2312" w:hAnsi="仿宋_GB2312" w:cs="仿宋_GB2312" w:hint="eastAsia"/>
          <w:spacing w:val="-2"/>
        </w:rPr>
        <w:t>伴生放射性矿开发利用企业流出物监测方案可参照表</w:t>
      </w:r>
      <w:r>
        <w:rPr>
          <w:rFonts w:ascii="仿宋_GB2312" w:eastAsia="仿宋_GB2312" w:hAnsi="仿宋_GB2312" w:cs="仿宋_GB2312" w:hint="eastAsia"/>
          <w:spacing w:val="-2"/>
        </w:rPr>
        <w:t>1</w:t>
      </w:r>
      <w:r>
        <w:rPr>
          <w:rFonts w:ascii="仿宋_GB2312" w:eastAsia="仿宋_GB2312" w:hAnsi="仿宋_GB2312" w:cs="仿宋_GB2312" w:hint="eastAsia"/>
          <w:spacing w:val="-2"/>
        </w:rPr>
        <w:t>并结合环境影响评价文件制定。</w:t>
      </w:r>
    </w:p>
    <w:p w:rsidR="007F0AAE" w:rsidRDefault="00893899">
      <w:pPr>
        <w:pStyle w:val="a4"/>
        <w:spacing w:before="37" w:line="216" w:lineRule="auto"/>
        <w:ind w:left="3415"/>
        <w:rPr>
          <w:rFonts w:ascii="黑体" w:eastAsia="黑体" w:hAnsi="黑体" w:cs="黑体"/>
          <w:sz w:val="28"/>
          <w:szCs w:val="28"/>
        </w:rPr>
      </w:pPr>
      <w:r>
        <w:rPr>
          <w:rFonts w:ascii="黑体" w:eastAsia="黑体" w:hAnsi="黑体" w:cs="黑体" w:hint="eastAsia"/>
          <w:spacing w:val="-3"/>
          <w:sz w:val="28"/>
          <w:szCs w:val="28"/>
        </w:rPr>
        <w:t>表</w:t>
      </w:r>
      <w:r>
        <w:rPr>
          <w:rFonts w:ascii="黑体" w:eastAsia="黑体" w:hAnsi="黑体" w:cs="黑体" w:hint="eastAsia"/>
          <w:spacing w:val="-3"/>
          <w:sz w:val="28"/>
          <w:szCs w:val="28"/>
        </w:rPr>
        <w:t>1</w:t>
      </w:r>
      <w:r>
        <w:rPr>
          <w:rFonts w:ascii="黑体" w:eastAsia="黑体" w:hAnsi="黑体" w:cs="黑体" w:hint="eastAsia"/>
          <w:spacing w:val="-3"/>
          <w:sz w:val="28"/>
          <w:szCs w:val="28"/>
        </w:rPr>
        <w:t>流出物监测方案</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4"/>
        <w:gridCol w:w="1807"/>
        <w:gridCol w:w="1056"/>
        <w:gridCol w:w="1221"/>
        <w:gridCol w:w="752"/>
        <w:gridCol w:w="1821"/>
        <w:gridCol w:w="1690"/>
      </w:tblGrid>
      <w:tr w:rsidR="007F0AAE">
        <w:trPr>
          <w:trHeight w:val="563"/>
          <w:jc w:val="center"/>
        </w:trPr>
        <w:tc>
          <w:tcPr>
            <w:tcW w:w="724" w:type="dxa"/>
            <w:tcBorders>
              <w:top w:val="single" w:sz="6" w:space="0" w:color="000000"/>
              <w:left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hint="eastAsia"/>
                <w:sz w:val="24"/>
                <w:szCs w:val="24"/>
              </w:rPr>
              <w:t>介质</w:t>
            </w:r>
          </w:p>
        </w:tc>
        <w:tc>
          <w:tcPr>
            <w:tcW w:w="1807" w:type="dxa"/>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hint="eastAsia"/>
                <w:sz w:val="24"/>
                <w:szCs w:val="24"/>
              </w:rPr>
              <w:t>采样点</w:t>
            </w:r>
          </w:p>
        </w:tc>
        <w:tc>
          <w:tcPr>
            <w:tcW w:w="3029" w:type="dxa"/>
            <w:gridSpan w:val="3"/>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hint="eastAsia"/>
                <w:sz w:val="24"/>
                <w:szCs w:val="24"/>
              </w:rPr>
              <w:t>监测项目</w:t>
            </w:r>
          </w:p>
        </w:tc>
        <w:tc>
          <w:tcPr>
            <w:tcW w:w="1821" w:type="dxa"/>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hint="eastAsia"/>
                <w:sz w:val="24"/>
                <w:szCs w:val="24"/>
              </w:rPr>
              <w:t>频次</w:t>
            </w:r>
          </w:p>
        </w:tc>
        <w:tc>
          <w:tcPr>
            <w:tcW w:w="1690" w:type="dxa"/>
            <w:tcBorders>
              <w:top w:val="single" w:sz="6" w:space="0" w:color="000000"/>
              <w:right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hint="eastAsia"/>
                <w:sz w:val="24"/>
                <w:szCs w:val="24"/>
              </w:rPr>
              <w:t>备注</w:t>
            </w:r>
          </w:p>
        </w:tc>
      </w:tr>
      <w:tr w:rsidR="007F0AAE">
        <w:trPr>
          <w:trHeight w:val="560"/>
          <w:jc w:val="center"/>
        </w:trPr>
        <w:tc>
          <w:tcPr>
            <w:tcW w:w="724"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废气</w:t>
            </w:r>
          </w:p>
        </w:tc>
        <w:tc>
          <w:tcPr>
            <w:tcW w:w="1807"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矿山：排风井</w:t>
            </w:r>
          </w:p>
        </w:tc>
        <w:tc>
          <w:tcPr>
            <w:tcW w:w="1056" w:type="dxa"/>
            <w:noWrap/>
            <w:vAlign w:val="center"/>
          </w:tcPr>
          <w:p w:rsidR="007F0AAE" w:rsidRDefault="00893899">
            <w:pPr>
              <w:pStyle w:val="TableText"/>
              <w:spacing w:line="320" w:lineRule="exact"/>
              <w:jc w:val="center"/>
              <w:rPr>
                <w:sz w:val="24"/>
                <w:szCs w:val="24"/>
              </w:rPr>
            </w:pPr>
            <w:r>
              <w:rPr>
                <w:sz w:val="24"/>
                <w:szCs w:val="24"/>
              </w:rPr>
              <w:t>伴生铀</w:t>
            </w:r>
          </w:p>
        </w:tc>
        <w:tc>
          <w:tcPr>
            <w:tcW w:w="1973" w:type="dxa"/>
            <w:gridSpan w:val="2"/>
            <w:noWrap/>
            <w:vAlign w:val="center"/>
          </w:tcPr>
          <w:p w:rsidR="007F0AAE" w:rsidRDefault="00893899">
            <w:pPr>
              <w:pStyle w:val="TableText"/>
              <w:spacing w:line="320" w:lineRule="exact"/>
              <w:jc w:val="center"/>
              <w:rPr>
                <w:sz w:val="24"/>
                <w:szCs w:val="24"/>
              </w:rPr>
            </w:pPr>
            <w:r>
              <w:rPr>
                <w:sz w:val="24"/>
                <w:szCs w:val="24"/>
                <w:vertAlign w:val="superscript"/>
              </w:rPr>
              <w:t>222</w:t>
            </w:r>
            <w:r>
              <w:rPr>
                <w:sz w:val="24"/>
                <w:szCs w:val="24"/>
              </w:rPr>
              <w:t>Rn</w:t>
            </w:r>
            <w:r>
              <w:rPr>
                <w:sz w:val="24"/>
                <w:szCs w:val="24"/>
              </w:rPr>
              <w:t>及其子体</w:t>
            </w:r>
          </w:p>
        </w:tc>
        <w:tc>
          <w:tcPr>
            <w:tcW w:w="1821"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690" w:type="dxa"/>
            <w:vMerge w:val="restart"/>
            <w:tcBorders>
              <w:bottom w:val="nil"/>
              <w:right w:val="single" w:sz="6" w:space="0" w:color="000000"/>
            </w:tcBorders>
            <w:noWrap/>
            <w:vAlign w:val="center"/>
          </w:tcPr>
          <w:p w:rsidR="007F0AAE" w:rsidRDefault="00893899">
            <w:pPr>
              <w:pStyle w:val="TableText"/>
              <w:spacing w:line="320" w:lineRule="exact"/>
              <w:jc w:val="center"/>
              <w:rPr>
                <w:sz w:val="24"/>
                <w:szCs w:val="24"/>
              </w:rPr>
            </w:pPr>
            <w:r>
              <w:rPr>
                <w:sz w:val="24"/>
                <w:szCs w:val="24"/>
              </w:rPr>
              <w:t>两次监测的间隔时间应不少于</w:t>
            </w:r>
            <w:r>
              <w:rPr>
                <w:sz w:val="24"/>
                <w:szCs w:val="24"/>
              </w:rPr>
              <w:t>3</w:t>
            </w:r>
            <w:r>
              <w:rPr>
                <w:sz w:val="24"/>
                <w:szCs w:val="24"/>
              </w:rPr>
              <w:t>个月</w:t>
            </w:r>
          </w:p>
        </w:tc>
      </w:tr>
      <w:tr w:rsidR="007F0AAE">
        <w:trPr>
          <w:trHeight w:val="414"/>
          <w:jc w:val="center"/>
        </w:trPr>
        <w:tc>
          <w:tcPr>
            <w:tcW w:w="724" w:type="dxa"/>
            <w:vMerge/>
            <w:tcBorders>
              <w:top w:val="nil"/>
              <w:left w:val="single" w:sz="6" w:space="0" w:color="000000"/>
              <w:bottom w:val="nil"/>
            </w:tcBorders>
            <w:noWrap/>
            <w:vAlign w:val="center"/>
          </w:tcPr>
          <w:p w:rsidR="007F0AAE" w:rsidRDefault="007F0AAE">
            <w:pPr>
              <w:spacing w:line="320" w:lineRule="exact"/>
              <w:jc w:val="center"/>
              <w:rPr>
                <w:rFonts w:ascii="Arial"/>
                <w:sz w:val="24"/>
                <w:szCs w:val="24"/>
              </w:rPr>
            </w:pPr>
          </w:p>
        </w:tc>
        <w:tc>
          <w:tcPr>
            <w:tcW w:w="1807" w:type="dxa"/>
            <w:vMerge/>
            <w:tcBorders>
              <w:top w:val="nil"/>
            </w:tcBorders>
            <w:noWrap/>
            <w:vAlign w:val="center"/>
          </w:tcPr>
          <w:p w:rsidR="007F0AAE" w:rsidRDefault="007F0AAE">
            <w:pPr>
              <w:spacing w:line="320" w:lineRule="exact"/>
              <w:jc w:val="center"/>
              <w:rPr>
                <w:rFonts w:ascii="Arial"/>
                <w:sz w:val="24"/>
                <w:szCs w:val="24"/>
              </w:rPr>
            </w:pPr>
          </w:p>
        </w:tc>
        <w:tc>
          <w:tcPr>
            <w:tcW w:w="1056" w:type="dxa"/>
            <w:noWrap/>
            <w:vAlign w:val="center"/>
          </w:tcPr>
          <w:p w:rsidR="007F0AAE" w:rsidRDefault="00893899">
            <w:pPr>
              <w:pStyle w:val="TableText"/>
              <w:spacing w:line="320" w:lineRule="exact"/>
              <w:jc w:val="center"/>
              <w:rPr>
                <w:sz w:val="24"/>
                <w:szCs w:val="24"/>
              </w:rPr>
            </w:pPr>
            <w:r>
              <w:rPr>
                <w:sz w:val="24"/>
                <w:szCs w:val="24"/>
              </w:rPr>
              <w:t>伴生钍</w:t>
            </w:r>
          </w:p>
        </w:tc>
        <w:tc>
          <w:tcPr>
            <w:tcW w:w="1973" w:type="dxa"/>
            <w:gridSpan w:val="2"/>
            <w:noWrap/>
            <w:vAlign w:val="center"/>
          </w:tcPr>
          <w:p w:rsidR="007F0AAE" w:rsidRDefault="00893899">
            <w:pPr>
              <w:pStyle w:val="TableText"/>
              <w:spacing w:line="320" w:lineRule="exact"/>
              <w:jc w:val="center"/>
              <w:rPr>
                <w:sz w:val="24"/>
                <w:szCs w:val="24"/>
              </w:rPr>
            </w:pPr>
            <w:r>
              <w:rPr>
                <w:sz w:val="24"/>
                <w:szCs w:val="24"/>
              </w:rPr>
              <w:t>钍射气</w:t>
            </w:r>
          </w:p>
        </w:tc>
        <w:tc>
          <w:tcPr>
            <w:tcW w:w="1821" w:type="dxa"/>
            <w:vMerge/>
            <w:tcBorders>
              <w:top w:val="nil"/>
            </w:tcBorders>
            <w:noWrap/>
            <w:vAlign w:val="center"/>
          </w:tcPr>
          <w:p w:rsidR="007F0AAE" w:rsidRDefault="007F0AAE">
            <w:pPr>
              <w:spacing w:line="320" w:lineRule="exact"/>
              <w:jc w:val="center"/>
              <w:rPr>
                <w:rFonts w:ascii="Arial"/>
                <w:sz w:val="24"/>
                <w:szCs w:val="24"/>
              </w:rPr>
            </w:pPr>
          </w:p>
        </w:tc>
        <w:tc>
          <w:tcPr>
            <w:tcW w:w="1690" w:type="dxa"/>
            <w:vMerge/>
            <w:tcBorders>
              <w:top w:val="nil"/>
              <w:bottom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559"/>
          <w:jc w:val="center"/>
        </w:trPr>
        <w:tc>
          <w:tcPr>
            <w:tcW w:w="724" w:type="dxa"/>
            <w:vMerge/>
            <w:tcBorders>
              <w:top w:val="nil"/>
              <w:left w:val="single" w:sz="6" w:space="0" w:color="000000"/>
              <w:bottom w:val="nil"/>
            </w:tcBorders>
            <w:noWrap/>
            <w:vAlign w:val="center"/>
          </w:tcPr>
          <w:p w:rsidR="007F0AAE" w:rsidRDefault="007F0AAE">
            <w:pPr>
              <w:spacing w:line="320" w:lineRule="exact"/>
              <w:jc w:val="center"/>
              <w:rPr>
                <w:rFonts w:ascii="Arial"/>
                <w:sz w:val="24"/>
                <w:szCs w:val="24"/>
              </w:rPr>
            </w:pPr>
          </w:p>
        </w:tc>
        <w:tc>
          <w:tcPr>
            <w:tcW w:w="1807"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其他有放射性物质流出的排气口</w:t>
            </w:r>
          </w:p>
        </w:tc>
        <w:tc>
          <w:tcPr>
            <w:tcW w:w="1056" w:type="dxa"/>
            <w:noWrap/>
            <w:vAlign w:val="center"/>
          </w:tcPr>
          <w:p w:rsidR="007F0AAE" w:rsidRDefault="00893899">
            <w:pPr>
              <w:pStyle w:val="TableText"/>
              <w:spacing w:line="320" w:lineRule="exact"/>
              <w:jc w:val="center"/>
              <w:rPr>
                <w:sz w:val="24"/>
                <w:szCs w:val="24"/>
              </w:rPr>
            </w:pPr>
            <w:r>
              <w:rPr>
                <w:sz w:val="24"/>
                <w:szCs w:val="24"/>
              </w:rPr>
              <w:t>伴生铀</w:t>
            </w:r>
          </w:p>
        </w:tc>
        <w:tc>
          <w:tcPr>
            <w:tcW w:w="1973" w:type="dxa"/>
            <w:gridSpan w:val="2"/>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p>
        </w:tc>
        <w:tc>
          <w:tcPr>
            <w:tcW w:w="1821"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690" w:type="dxa"/>
            <w:vMerge/>
            <w:tcBorders>
              <w:top w:val="nil"/>
              <w:bottom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560"/>
          <w:jc w:val="center"/>
        </w:trPr>
        <w:tc>
          <w:tcPr>
            <w:tcW w:w="724" w:type="dxa"/>
            <w:vMerge/>
            <w:tcBorders>
              <w:top w:val="nil"/>
              <w:left w:val="single" w:sz="6" w:space="0" w:color="000000"/>
            </w:tcBorders>
            <w:noWrap/>
            <w:vAlign w:val="center"/>
          </w:tcPr>
          <w:p w:rsidR="007F0AAE" w:rsidRDefault="007F0AAE">
            <w:pPr>
              <w:spacing w:line="320" w:lineRule="exact"/>
              <w:jc w:val="center"/>
              <w:rPr>
                <w:rFonts w:ascii="Arial"/>
                <w:sz w:val="24"/>
                <w:szCs w:val="24"/>
              </w:rPr>
            </w:pPr>
          </w:p>
        </w:tc>
        <w:tc>
          <w:tcPr>
            <w:tcW w:w="1807" w:type="dxa"/>
            <w:vMerge/>
            <w:tcBorders>
              <w:top w:val="nil"/>
            </w:tcBorders>
            <w:noWrap/>
            <w:vAlign w:val="center"/>
          </w:tcPr>
          <w:p w:rsidR="007F0AAE" w:rsidRDefault="007F0AAE">
            <w:pPr>
              <w:spacing w:line="320" w:lineRule="exact"/>
              <w:jc w:val="center"/>
              <w:rPr>
                <w:rFonts w:ascii="Arial"/>
                <w:sz w:val="24"/>
                <w:szCs w:val="24"/>
              </w:rPr>
            </w:pPr>
          </w:p>
        </w:tc>
        <w:tc>
          <w:tcPr>
            <w:tcW w:w="1056" w:type="dxa"/>
            <w:noWrap/>
            <w:vAlign w:val="center"/>
          </w:tcPr>
          <w:p w:rsidR="007F0AAE" w:rsidRDefault="00893899">
            <w:pPr>
              <w:pStyle w:val="TableText"/>
              <w:spacing w:line="320" w:lineRule="exact"/>
              <w:jc w:val="center"/>
              <w:rPr>
                <w:sz w:val="24"/>
                <w:szCs w:val="24"/>
              </w:rPr>
            </w:pPr>
            <w:r>
              <w:rPr>
                <w:sz w:val="24"/>
                <w:szCs w:val="24"/>
              </w:rPr>
              <w:t>伴生钍</w:t>
            </w:r>
          </w:p>
        </w:tc>
        <w:tc>
          <w:tcPr>
            <w:tcW w:w="1973" w:type="dxa"/>
            <w:gridSpan w:val="2"/>
            <w:noWrap/>
            <w:vAlign w:val="center"/>
          </w:tcPr>
          <w:p w:rsidR="007F0AAE" w:rsidRDefault="00893899">
            <w:pPr>
              <w:pStyle w:val="TableText"/>
              <w:spacing w:line="320" w:lineRule="exact"/>
              <w:jc w:val="center"/>
              <w:rPr>
                <w:sz w:val="24"/>
                <w:szCs w:val="24"/>
              </w:rPr>
            </w:pPr>
            <w:r>
              <w:rPr>
                <w:sz w:val="24"/>
                <w:szCs w:val="24"/>
              </w:rPr>
              <w:t>Th</w:t>
            </w:r>
          </w:p>
        </w:tc>
        <w:tc>
          <w:tcPr>
            <w:tcW w:w="1821" w:type="dxa"/>
            <w:vMerge/>
            <w:tcBorders>
              <w:top w:val="nil"/>
            </w:tcBorders>
            <w:noWrap/>
            <w:vAlign w:val="center"/>
          </w:tcPr>
          <w:p w:rsidR="007F0AAE" w:rsidRDefault="007F0AAE">
            <w:pPr>
              <w:spacing w:line="320" w:lineRule="exact"/>
              <w:jc w:val="center"/>
              <w:rPr>
                <w:rFonts w:ascii="Arial"/>
                <w:sz w:val="24"/>
                <w:szCs w:val="24"/>
              </w:rPr>
            </w:pPr>
          </w:p>
        </w:tc>
        <w:tc>
          <w:tcPr>
            <w:tcW w:w="1690" w:type="dxa"/>
            <w:vMerge/>
            <w:tcBorders>
              <w:top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559"/>
          <w:jc w:val="center"/>
        </w:trPr>
        <w:tc>
          <w:tcPr>
            <w:tcW w:w="724"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废水</w:t>
            </w:r>
          </w:p>
        </w:tc>
        <w:tc>
          <w:tcPr>
            <w:tcW w:w="1807"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车间排放口、总排放口、尾矿（渣）</w:t>
            </w:r>
            <w:r>
              <w:rPr>
                <w:sz w:val="24"/>
                <w:szCs w:val="24"/>
              </w:rPr>
              <w:t xml:space="preserve"> </w:t>
            </w:r>
            <w:r>
              <w:rPr>
                <w:sz w:val="24"/>
                <w:szCs w:val="24"/>
              </w:rPr>
              <w:t>库渗出水排放口</w:t>
            </w:r>
          </w:p>
        </w:tc>
        <w:tc>
          <w:tcPr>
            <w:tcW w:w="1056" w:type="dxa"/>
            <w:noWrap/>
            <w:vAlign w:val="center"/>
          </w:tcPr>
          <w:p w:rsidR="007F0AAE" w:rsidRDefault="00893899">
            <w:pPr>
              <w:pStyle w:val="TableText"/>
              <w:spacing w:line="320" w:lineRule="exact"/>
              <w:jc w:val="center"/>
              <w:rPr>
                <w:sz w:val="24"/>
                <w:szCs w:val="24"/>
              </w:rPr>
            </w:pPr>
            <w:r>
              <w:rPr>
                <w:sz w:val="24"/>
                <w:szCs w:val="24"/>
              </w:rPr>
              <w:t>伴生铀</w:t>
            </w:r>
          </w:p>
        </w:tc>
        <w:tc>
          <w:tcPr>
            <w:tcW w:w="1221" w:type="dxa"/>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r>
              <w:rPr>
                <w:sz w:val="24"/>
                <w:szCs w:val="24"/>
              </w:rPr>
              <w:t>、</w:t>
            </w:r>
            <w:r>
              <w:rPr>
                <w:sz w:val="24"/>
                <w:szCs w:val="24"/>
                <w:vertAlign w:val="superscript"/>
              </w:rPr>
              <w:t>226</w:t>
            </w:r>
            <w:r>
              <w:rPr>
                <w:sz w:val="24"/>
                <w:szCs w:val="24"/>
              </w:rPr>
              <w:t>Ra</w:t>
            </w:r>
          </w:p>
        </w:tc>
        <w:tc>
          <w:tcPr>
            <w:tcW w:w="752"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总</w:t>
            </w:r>
            <w:r>
              <w:rPr>
                <w:sz w:val="24"/>
                <w:szCs w:val="24"/>
              </w:rPr>
              <w:t>α</w:t>
            </w:r>
            <w:r>
              <w:rPr>
                <w:sz w:val="24"/>
                <w:szCs w:val="24"/>
              </w:rPr>
              <w:t>、总</w:t>
            </w:r>
            <w:r>
              <w:rPr>
                <w:sz w:val="24"/>
                <w:szCs w:val="24"/>
              </w:rPr>
              <w:t>β</w:t>
            </w:r>
          </w:p>
        </w:tc>
        <w:tc>
          <w:tcPr>
            <w:tcW w:w="1821"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月</w:t>
            </w:r>
          </w:p>
        </w:tc>
        <w:tc>
          <w:tcPr>
            <w:tcW w:w="1690" w:type="dxa"/>
            <w:vMerge w:val="restart"/>
            <w:tcBorders>
              <w:bottom w:val="nil"/>
              <w:right w:val="single" w:sz="6" w:space="0" w:color="000000"/>
            </w:tcBorders>
            <w:noWrap/>
            <w:vAlign w:val="center"/>
          </w:tcPr>
          <w:p w:rsidR="007F0AAE" w:rsidRDefault="00893899">
            <w:pPr>
              <w:pStyle w:val="TableText"/>
              <w:spacing w:line="320" w:lineRule="exact"/>
              <w:jc w:val="center"/>
              <w:rPr>
                <w:sz w:val="24"/>
                <w:szCs w:val="24"/>
              </w:rPr>
            </w:pPr>
            <w:r>
              <w:rPr>
                <w:sz w:val="24"/>
                <w:szCs w:val="24"/>
              </w:rPr>
              <w:t>车间排放口是指单独处理放射性废水的处理车间</w:t>
            </w:r>
          </w:p>
        </w:tc>
      </w:tr>
      <w:tr w:rsidR="007F0AAE">
        <w:trPr>
          <w:trHeight w:val="573"/>
          <w:jc w:val="center"/>
        </w:trPr>
        <w:tc>
          <w:tcPr>
            <w:tcW w:w="724" w:type="dxa"/>
            <w:vMerge/>
            <w:tcBorders>
              <w:top w:val="nil"/>
              <w:left w:val="single" w:sz="6" w:space="0" w:color="000000"/>
              <w:bottom w:val="single" w:sz="6" w:space="0" w:color="000000"/>
            </w:tcBorders>
            <w:noWrap/>
            <w:vAlign w:val="center"/>
          </w:tcPr>
          <w:p w:rsidR="007F0AAE" w:rsidRDefault="007F0AAE">
            <w:pPr>
              <w:spacing w:line="320" w:lineRule="exact"/>
              <w:jc w:val="center"/>
              <w:rPr>
                <w:rFonts w:ascii="Arial"/>
                <w:sz w:val="24"/>
                <w:szCs w:val="24"/>
              </w:rPr>
            </w:pPr>
          </w:p>
        </w:tc>
        <w:tc>
          <w:tcPr>
            <w:tcW w:w="1807" w:type="dxa"/>
            <w:vMerge/>
            <w:tcBorders>
              <w:top w:val="nil"/>
              <w:bottom w:val="single" w:sz="6" w:space="0" w:color="000000"/>
            </w:tcBorders>
            <w:noWrap/>
            <w:vAlign w:val="center"/>
          </w:tcPr>
          <w:p w:rsidR="007F0AAE" w:rsidRDefault="007F0AAE">
            <w:pPr>
              <w:spacing w:line="320" w:lineRule="exact"/>
              <w:jc w:val="center"/>
              <w:rPr>
                <w:rFonts w:ascii="Arial"/>
                <w:sz w:val="24"/>
                <w:szCs w:val="24"/>
              </w:rPr>
            </w:pPr>
          </w:p>
        </w:tc>
        <w:tc>
          <w:tcPr>
            <w:tcW w:w="1056" w:type="dxa"/>
            <w:tcBorders>
              <w:bottom w:val="single" w:sz="6" w:space="0" w:color="000000"/>
            </w:tcBorders>
            <w:noWrap/>
            <w:vAlign w:val="center"/>
          </w:tcPr>
          <w:p w:rsidR="007F0AAE" w:rsidRDefault="00893899">
            <w:pPr>
              <w:pStyle w:val="TableText"/>
              <w:spacing w:line="320" w:lineRule="exact"/>
              <w:jc w:val="center"/>
              <w:rPr>
                <w:sz w:val="24"/>
                <w:szCs w:val="24"/>
              </w:rPr>
            </w:pPr>
            <w:r>
              <w:rPr>
                <w:sz w:val="24"/>
                <w:szCs w:val="24"/>
              </w:rPr>
              <w:t>伴生钍</w:t>
            </w:r>
          </w:p>
        </w:tc>
        <w:tc>
          <w:tcPr>
            <w:tcW w:w="1221" w:type="dxa"/>
            <w:tcBorders>
              <w:bottom w:val="single" w:sz="6" w:space="0" w:color="000000"/>
            </w:tcBorders>
            <w:noWrap/>
            <w:vAlign w:val="center"/>
          </w:tcPr>
          <w:p w:rsidR="007F0AAE" w:rsidRDefault="00893899">
            <w:pPr>
              <w:pStyle w:val="TableText"/>
              <w:spacing w:line="320" w:lineRule="exact"/>
              <w:jc w:val="center"/>
              <w:rPr>
                <w:sz w:val="24"/>
                <w:szCs w:val="24"/>
              </w:rPr>
            </w:pPr>
            <w:r>
              <w:rPr>
                <w:sz w:val="24"/>
                <w:szCs w:val="24"/>
              </w:rPr>
              <w:t>Th</w:t>
            </w:r>
          </w:p>
        </w:tc>
        <w:tc>
          <w:tcPr>
            <w:tcW w:w="752" w:type="dxa"/>
            <w:vMerge/>
            <w:tcBorders>
              <w:top w:val="nil"/>
              <w:bottom w:val="single" w:sz="6" w:space="0" w:color="000000"/>
            </w:tcBorders>
            <w:noWrap/>
            <w:vAlign w:val="center"/>
          </w:tcPr>
          <w:p w:rsidR="007F0AAE" w:rsidRDefault="007F0AAE">
            <w:pPr>
              <w:spacing w:line="320" w:lineRule="exact"/>
              <w:jc w:val="center"/>
              <w:rPr>
                <w:rFonts w:ascii="Arial"/>
                <w:sz w:val="24"/>
                <w:szCs w:val="24"/>
              </w:rPr>
            </w:pPr>
          </w:p>
        </w:tc>
        <w:tc>
          <w:tcPr>
            <w:tcW w:w="1821" w:type="dxa"/>
            <w:vMerge/>
            <w:tcBorders>
              <w:top w:val="nil"/>
              <w:bottom w:val="single" w:sz="6" w:space="0" w:color="000000"/>
            </w:tcBorders>
            <w:noWrap/>
            <w:vAlign w:val="center"/>
          </w:tcPr>
          <w:p w:rsidR="007F0AAE" w:rsidRDefault="007F0AAE">
            <w:pPr>
              <w:spacing w:line="320" w:lineRule="exact"/>
              <w:jc w:val="center"/>
              <w:rPr>
                <w:rFonts w:ascii="Arial"/>
                <w:sz w:val="24"/>
                <w:szCs w:val="24"/>
              </w:rPr>
            </w:pPr>
          </w:p>
        </w:tc>
        <w:tc>
          <w:tcPr>
            <w:tcW w:w="1690" w:type="dxa"/>
            <w:vMerge/>
            <w:tcBorders>
              <w:top w:val="nil"/>
              <w:bottom w:val="single" w:sz="6" w:space="0" w:color="000000"/>
              <w:right w:val="single" w:sz="6" w:space="0" w:color="000000"/>
            </w:tcBorders>
            <w:noWrap/>
            <w:vAlign w:val="center"/>
          </w:tcPr>
          <w:p w:rsidR="007F0AAE" w:rsidRDefault="007F0AAE">
            <w:pPr>
              <w:spacing w:line="320" w:lineRule="exact"/>
              <w:jc w:val="center"/>
              <w:rPr>
                <w:rFonts w:ascii="Arial"/>
                <w:sz w:val="24"/>
                <w:szCs w:val="24"/>
              </w:rPr>
            </w:pPr>
          </w:p>
        </w:tc>
      </w:tr>
    </w:tbl>
    <w:p w:rsidR="007F0AAE" w:rsidRDefault="00893899">
      <w:pPr>
        <w:spacing w:line="560" w:lineRule="exact"/>
        <w:ind w:firstLineChars="200" w:firstLine="632"/>
        <w:outlineLvl w:val="0"/>
        <w:rPr>
          <w:rFonts w:ascii="黑体" w:eastAsia="黑体" w:hAnsi="黑体" w:cs="黑体"/>
          <w:spacing w:val="-2"/>
          <w:szCs w:val="32"/>
        </w:rPr>
      </w:pPr>
      <w:r>
        <w:rPr>
          <w:rFonts w:ascii="黑体" w:eastAsia="黑体" w:hAnsi="黑体" w:cs="黑体" w:hint="eastAsia"/>
          <w:spacing w:val="-2"/>
          <w:szCs w:val="32"/>
        </w:rPr>
        <w:br w:type="page"/>
      </w:r>
      <w:r>
        <w:rPr>
          <w:rFonts w:ascii="黑体" w:eastAsia="黑体" w:hAnsi="黑体" w:cs="黑体" w:hint="eastAsia"/>
          <w:spacing w:val="-2"/>
          <w:szCs w:val="32"/>
        </w:rPr>
        <w:lastRenderedPageBreak/>
        <w:t>5.</w:t>
      </w:r>
      <w:r>
        <w:rPr>
          <w:rFonts w:ascii="黑体" w:eastAsia="黑体" w:hAnsi="黑体" w:cs="黑体" w:hint="eastAsia"/>
          <w:spacing w:val="-2"/>
          <w:szCs w:val="32"/>
        </w:rPr>
        <w:t>辐射环境监测</w:t>
      </w:r>
    </w:p>
    <w:p w:rsidR="007F0AAE" w:rsidRDefault="00893899">
      <w:pPr>
        <w:spacing w:line="560" w:lineRule="exact"/>
        <w:ind w:firstLineChars="200" w:firstLine="632"/>
        <w:jc w:val="left"/>
        <w:outlineLvl w:val="0"/>
        <w:rPr>
          <w:rFonts w:ascii="仿宋_GB2312" w:hAnsi="仿宋_GB2312" w:cs="仿宋_GB2312"/>
          <w:spacing w:val="-2"/>
          <w:szCs w:val="32"/>
        </w:rPr>
      </w:pPr>
      <w:r>
        <w:rPr>
          <w:rFonts w:ascii="仿宋_GB2312" w:hAnsi="仿宋_GB2312" w:cs="仿宋_GB2312" w:hint="eastAsia"/>
          <w:spacing w:val="-2"/>
          <w:szCs w:val="32"/>
        </w:rPr>
        <w:t>伴生放射性矿开发利用企业辐射环境监测方案可参照表</w:t>
      </w:r>
      <w:r>
        <w:rPr>
          <w:rFonts w:ascii="仿宋_GB2312" w:hAnsi="仿宋_GB2312" w:cs="仿宋_GB2312" w:hint="eastAsia"/>
          <w:spacing w:val="-2"/>
          <w:szCs w:val="32"/>
        </w:rPr>
        <w:t>2</w:t>
      </w:r>
      <w:r>
        <w:rPr>
          <w:rFonts w:ascii="仿宋_GB2312" w:hAnsi="仿宋_GB2312" w:cs="仿宋_GB2312" w:hint="eastAsia"/>
          <w:spacing w:val="-2"/>
          <w:szCs w:val="32"/>
        </w:rPr>
        <w:t>并结合环境影响评价文件制定。</w:t>
      </w:r>
    </w:p>
    <w:p w:rsidR="007F0AAE" w:rsidRDefault="00893899" w:rsidP="00A32059">
      <w:pPr>
        <w:spacing w:beforeLines="50" w:afterLines="50" w:line="560" w:lineRule="exact"/>
        <w:ind w:firstLineChars="200" w:firstLine="548"/>
        <w:jc w:val="center"/>
        <w:outlineLvl w:val="0"/>
        <w:rPr>
          <w:rFonts w:ascii="黑体" w:eastAsia="黑体" w:hAnsi="黑体" w:cs="黑体"/>
          <w:sz w:val="28"/>
          <w:szCs w:val="28"/>
        </w:rPr>
      </w:pPr>
      <w:r>
        <w:rPr>
          <w:rFonts w:ascii="黑体" w:eastAsia="黑体" w:hAnsi="黑体" w:cs="黑体" w:hint="eastAsia"/>
          <w:spacing w:val="-3"/>
          <w:sz w:val="28"/>
          <w:szCs w:val="28"/>
        </w:rPr>
        <w:t>表</w:t>
      </w:r>
      <w:r>
        <w:rPr>
          <w:rFonts w:ascii="黑体" w:eastAsia="黑体" w:hAnsi="黑体" w:cs="黑体" w:hint="eastAsia"/>
          <w:spacing w:val="-3"/>
          <w:sz w:val="28"/>
          <w:szCs w:val="28"/>
        </w:rPr>
        <w:t xml:space="preserve">2 </w:t>
      </w:r>
      <w:r>
        <w:rPr>
          <w:rFonts w:ascii="黑体" w:eastAsia="黑体" w:hAnsi="黑体" w:cs="黑体" w:hint="eastAsia"/>
          <w:spacing w:val="-3"/>
          <w:sz w:val="28"/>
          <w:szCs w:val="28"/>
        </w:rPr>
        <w:t>辐射环境监测方案</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1"/>
        <w:gridCol w:w="3338"/>
        <w:gridCol w:w="918"/>
        <w:gridCol w:w="1438"/>
        <w:gridCol w:w="1106"/>
        <w:gridCol w:w="1440"/>
      </w:tblGrid>
      <w:tr w:rsidR="007F0AAE">
        <w:trPr>
          <w:trHeight w:val="733"/>
          <w:jc w:val="center"/>
        </w:trPr>
        <w:tc>
          <w:tcPr>
            <w:tcW w:w="831" w:type="dxa"/>
            <w:tcBorders>
              <w:top w:val="single" w:sz="6" w:space="0" w:color="000000"/>
              <w:left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sz w:val="24"/>
                <w:szCs w:val="24"/>
              </w:rPr>
              <w:t>介质</w:t>
            </w:r>
          </w:p>
        </w:tc>
        <w:tc>
          <w:tcPr>
            <w:tcW w:w="3338" w:type="dxa"/>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sz w:val="24"/>
                <w:szCs w:val="24"/>
              </w:rPr>
              <w:t>采样点或监测点</w:t>
            </w:r>
          </w:p>
        </w:tc>
        <w:tc>
          <w:tcPr>
            <w:tcW w:w="2356" w:type="dxa"/>
            <w:gridSpan w:val="2"/>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sz w:val="24"/>
                <w:szCs w:val="24"/>
              </w:rPr>
              <w:t>监测项目</w:t>
            </w:r>
          </w:p>
        </w:tc>
        <w:tc>
          <w:tcPr>
            <w:tcW w:w="1106" w:type="dxa"/>
            <w:tcBorders>
              <w:top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sz w:val="24"/>
                <w:szCs w:val="24"/>
              </w:rPr>
              <w:t>频次</w:t>
            </w:r>
          </w:p>
        </w:tc>
        <w:tc>
          <w:tcPr>
            <w:tcW w:w="1440" w:type="dxa"/>
            <w:tcBorders>
              <w:top w:val="single" w:sz="6" w:space="0" w:color="000000"/>
              <w:right w:val="single" w:sz="6" w:space="0" w:color="000000"/>
            </w:tcBorders>
            <w:noWrap/>
            <w:vAlign w:val="center"/>
          </w:tcPr>
          <w:p w:rsidR="007F0AAE" w:rsidRDefault="00893899">
            <w:pPr>
              <w:spacing w:line="320" w:lineRule="exact"/>
              <w:jc w:val="center"/>
              <w:rPr>
                <w:rFonts w:ascii="黑体" w:eastAsia="黑体" w:hAnsi="黑体" w:cs="黑体"/>
                <w:sz w:val="24"/>
                <w:szCs w:val="24"/>
              </w:rPr>
            </w:pPr>
            <w:r>
              <w:rPr>
                <w:rFonts w:ascii="黑体" w:eastAsia="黑体" w:hAnsi="黑体" w:cs="黑体"/>
                <w:sz w:val="24"/>
                <w:szCs w:val="24"/>
              </w:rPr>
              <w:t>备注</w:t>
            </w:r>
          </w:p>
        </w:tc>
      </w:tr>
      <w:tr w:rsidR="007F0AAE">
        <w:trPr>
          <w:trHeight w:val="751"/>
          <w:jc w:val="center"/>
        </w:trPr>
        <w:tc>
          <w:tcPr>
            <w:tcW w:w="831"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空气</w:t>
            </w:r>
          </w:p>
        </w:tc>
        <w:tc>
          <w:tcPr>
            <w:tcW w:w="3338"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设施周围最近居民点；最大风频下风向</w:t>
            </w:r>
            <w:r>
              <w:rPr>
                <w:sz w:val="24"/>
                <w:szCs w:val="24"/>
              </w:rPr>
              <w:t>500</w:t>
            </w:r>
            <w:r>
              <w:rPr>
                <w:sz w:val="24"/>
                <w:szCs w:val="24"/>
              </w:rPr>
              <w:t>米内最近居民点；对照点</w:t>
            </w:r>
          </w:p>
        </w:tc>
        <w:tc>
          <w:tcPr>
            <w:tcW w:w="918" w:type="dxa"/>
            <w:noWrap/>
            <w:vAlign w:val="center"/>
          </w:tcPr>
          <w:p w:rsidR="007F0AAE" w:rsidRDefault="00893899">
            <w:pPr>
              <w:pStyle w:val="TableText"/>
              <w:spacing w:line="320" w:lineRule="exact"/>
              <w:jc w:val="center"/>
              <w:rPr>
                <w:sz w:val="24"/>
                <w:szCs w:val="24"/>
              </w:rPr>
            </w:pPr>
            <w:r>
              <w:rPr>
                <w:sz w:val="24"/>
                <w:szCs w:val="24"/>
              </w:rPr>
              <w:t>伴生铀</w:t>
            </w:r>
          </w:p>
        </w:tc>
        <w:tc>
          <w:tcPr>
            <w:tcW w:w="1438" w:type="dxa"/>
            <w:noWrap/>
            <w:vAlign w:val="center"/>
          </w:tcPr>
          <w:p w:rsidR="007F0AAE" w:rsidRDefault="00893899">
            <w:pPr>
              <w:pStyle w:val="TableText"/>
              <w:spacing w:line="320" w:lineRule="exact"/>
              <w:jc w:val="center"/>
              <w:rPr>
                <w:sz w:val="24"/>
                <w:szCs w:val="24"/>
              </w:rPr>
            </w:pPr>
            <w:r>
              <w:rPr>
                <w:sz w:val="24"/>
                <w:szCs w:val="24"/>
                <w:vertAlign w:val="superscript"/>
              </w:rPr>
              <w:t>222</w:t>
            </w:r>
            <w:r>
              <w:rPr>
                <w:sz w:val="24"/>
                <w:szCs w:val="24"/>
              </w:rPr>
              <w:t>Rn</w:t>
            </w:r>
            <w:r>
              <w:rPr>
                <w:sz w:val="24"/>
                <w:szCs w:val="24"/>
              </w:rPr>
              <w:t>及其子体</w:t>
            </w:r>
          </w:p>
        </w:tc>
        <w:tc>
          <w:tcPr>
            <w:tcW w:w="1106"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440" w:type="dxa"/>
            <w:vMerge w:val="restart"/>
            <w:tcBorders>
              <w:bottom w:val="nil"/>
              <w:right w:val="single" w:sz="6" w:space="0" w:color="000000"/>
            </w:tcBorders>
            <w:noWrap/>
            <w:vAlign w:val="center"/>
          </w:tcPr>
          <w:p w:rsidR="007F0AAE" w:rsidRDefault="00893899">
            <w:pPr>
              <w:pStyle w:val="TableText"/>
              <w:spacing w:line="320" w:lineRule="exact"/>
              <w:jc w:val="center"/>
              <w:rPr>
                <w:sz w:val="24"/>
                <w:szCs w:val="24"/>
              </w:rPr>
            </w:pPr>
            <w:r>
              <w:rPr>
                <w:sz w:val="24"/>
                <w:szCs w:val="24"/>
              </w:rPr>
              <w:t>两次监测的间隔时间应不少于</w:t>
            </w:r>
            <w:r>
              <w:rPr>
                <w:sz w:val="24"/>
                <w:szCs w:val="24"/>
              </w:rPr>
              <w:t>3</w:t>
            </w:r>
            <w:r>
              <w:rPr>
                <w:sz w:val="24"/>
                <w:szCs w:val="24"/>
              </w:rPr>
              <w:t>个月</w:t>
            </w:r>
          </w:p>
        </w:tc>
      </w:tr>
      <w:tr w:rsidR="007F0AAE">
        <w:trPr>
          <w:trHeight w:val="1016"/>
          <w:jc w:val="center"/>
        </w:trPr>
        <w:tc>
          <w:tcPr>
            <w:tcW w:w="831" w:type="dxa"/>
            <w:vMerge/>
            <w:tcBorders>
              <w:top w:val="nil"/>
              <w:left w:val="single" w:sz="6" w:space="0" w:color="000000"/>
            </w:tcBorders>
            <w:noWrap/>
            <w:vAlign w:val="center"/>
          </w:tcPr>
          <w:p w:rsidR="007F0AAE" w:rsidRDefault="007F0AAE">
            <w:pPr>
              <w:spacing w:line="320" w:lineRule="exact"/>
              <w:jc w:val="center"/>
              <w:rPr>
                <w:rFonts w:ascii="Arial"/>
                <w:sz w:val="24"/>
                <w:szCs w:val="24"/>
              </w:rPr>
            </w:pPr>
          </w:p>
        </w:tc>
        <w:tc>
          <w:tcPr>
            <w:tcW w:w="3338" w:type="dxa"/>
            <w:vMerge/>
            <w:tcBorders>
              <w:top w:val="nil"/>
            </w:tcBorders>
            <w:noWrap/>
            <w:vAlign w:val="center"/>
          </w:tcPr>
          <w:p w:rsidR="007F0AAE" w:rsidRDefault="007F0AAE">
            <w:pPr>
              <w:spacing w:line="320" w:lineRule="exact"/>
              <w:jc w:val="center"/>
              <w:rPr>
                <w:rFonts w:ascii="Arial"/>
                <w:sz w:val="24"/>
                <w:szCs w:val="24"/>
              </w:rPr>
            </w:pPr>
          </w:p>
        </w:tc>
        <w:tc>
          <w:tcPr>
            <w:tcW w:w="918" w:type="dxa"/>
            <w:noWrap/>
            <w:vAlign w:val="center"/>
          </w:tcPr>
          <w:p w:rsidR="007F0AAE" w:rsidRDefault="00893899">
            <w:pPr>
              <w:pStyle w:val="TableText"/>
              <w:spacing w:line="320" w:lineRule="exact"/>
              <w:jc w:val="center"/>
              <w:rPr>
                <w:sz w:val="24"/>
                <w:szCs w:val="24"/>
              </w:rPr>
            </w:pPr>
            <w:r>
              <w:rPr>
                <w:sz w:val="24"/>
                <w:szCs w:val="24"/>
              </w:rPr>
              <w:t>伴生钍</w:t>
            </w:r>
          </w:p>
        </w:tc>
        <w:tc>
          <w:tcPr>
            <w:tcW w:w="1438" w:type="dxa"/>
            <w:noWrap/>
            <w:vAlign w:val="center"/>
          </w:tcPr>
          <w:p w:rsidR="007F0AAE" w:rsidRDefault="00893899">
            <w:pPr>
              <w:pStyle w:val="TableText"/>
              <w:spacing w:line="320" w:lineRule="exact"/>
              <w:jc w:val="center"/>
              <w:rPr>
                <w:sz w:val="24"/>
                <w:szCs w:val="24"/>
              </w:rPr>
            </w:pPr>
            <w:r>
              <w:rPr>
                <w:sz w:val="24"/>
                <w:szCs w:val="24"/>
              </w:rPr>
              <w:t>钍射气</w:t>
            </w:r>
          </w:p>
        </w:tc>
        <w:tc>
          <w:tcPr>
            <w:tcW w:w="1106" w:type="dxa"/>
            <w:vMerge/>
            <w:tcBorders>
              <w:top w:val="nil"/>
            </w:tcBorders>
            <w:noWrap/>
            <w:vAlign w:val="center"/>
          </w:tcPr>
          <w:p w:rsidR="007F0AAE" w:rsidRDefault="007F0AAE">
            <w:pPr>
              <w:spacing w:line="320" w:lineRule="exact"/>
              <w:jc w:val="center"/>
              <w:rPr>
                <w:rFonts w:ascii="Arial"/>
                <w:sz w:val="24"/>
                <w:szCs w:val="24"/>
              </w:rPr>
            </w:pPr>
          </w:p>
        </w:tc>
        <w:tc>
          <w:tcPr>
            <w:tcW w:w="1440" w:type="dxa"/>
            <w:vMerge/>
            <w:tcBorders>
              <w:top w:val="nil"/>
              <w:bottom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1846"/>
          <w:jc w:val="center"/>
        </w:trPr>
        <w:tc>
          <w:tcPr>
            <w:tcW w:w="831" w:type="dxa"/>
            <w:tcBorders>
              <w:left w:val="single" w:sz="6" w:space="0" w:color="000000"/>
            </w:tcBorders>
            <w:noWrap/>
            <w:vAlign w:val="center"/>
          </w:tcPr>
          <w:p w:rsidR="007F0AAE" w:rsidRDefault="00893899">
            <w:pPr>
              <w:pStyle w:val="TableText"/>
              <w:spacing w:line="320" w:lineRule="exact"/>
              <w:jc w:val="center"/>
              <w:rPr>
                <w:sz w:val="24"/>
                <w:szCs w:val="24"/>
              </w:rPr>
            </w:pPr>
            <w:r>
              <w:rPr>
                <w:sz w:val="24"/>
                <w:szCs w:val="24"/>
              </w:rPr>
              <w:t>陆地</w:t>
            </w:r>
            <w:r>
              <w:rPr>
                <w:sz w:val="24"/>
                <w:szCs w:val="24"/>
              </w:rPr>
              <w:t>γ</w:t>
            </w:r>
          </w:p>
        </w:tc>
        <w:tc>
          <w:tcPr>
            <w:tcW w:w="3338" w:type="dxa"/>
            <w:noWrap/>
            <w:vAlign w:val="center"/>
          </w:tcPr>
          <w:p w:rsidR="007F0AAE" w:rsidRDefault="00893899">
            <w:pPr>
              <w:pStyle w:val="TableText"/>
              <w:spacing w:line="320" w:lineRule="exact"/>
              <w:jc w:val="center"/>
              <w:rPr>
                <w:sz w:val="24"/>
                <w:szCs w:val="24"/>
              </w:rPr>
            </w:pPr>
            <w:r>
              <w:rPr>
                <w:sz w:val="24"/>
                <w:szCs w:val="24"/>
              </w:rPr>
              <w:t>厂界四周不少于</w:t>
            </w:r>
            <w:r>
              <w:rPr>
                <w:sz w:val="24"/>
                <w:szCs w:val="24"/>
              </w:rPr>
              <w:t>4</w:t>
            </w:r>
            <w:r>
              <w:rPr>
                <w:sz w:val="24"/>
                <w:szCs w:val="24"/>
              </w:rPr>
              <w:t>个点（必须包括最大风频的下风向厂界处，间距不能超过</w:t>
            </w:r>
            <w:r>
              <w:rPr>
                <w:sz w:val="24"/>
                <w:szCs w:val="24"/>
              </w:rPr>
              <w:t>500</w:t>
            </w:r>
            <w:r>
              <w:rPr>
                <w:sz w:val="24"/>
                <w:szCs w:val="24"/>
              </w:rPr>
              <w:t>米）；空气、土壤采样布点处；易洒落矿物的公路；对照点</w:t>
            </w:r>
          </w:p>
        </w:tc>
        <w:tc>
          <w:tcPr>
            <w:tcW w:w="2356" w:type="dxa"/>
            <w:gridSpan w:val="2"/>
            <w:noWrap/>
            <w:vAlign w:val="center"/>
          </w:tcPr>
          <w:p w:rsidR="007F0AAE" w:rsidRDefault="00893899">
            <w:pPr>
              <w:pStyle w:val="TableText"/>
              <w:spacing w:line="320" w:lineRule="exact"/>
              <w:jc w:val="center"/>
              <w:rPr>
                <w:sz w:val="24"/>
                <w:szCs w:val="24"/>
              </w:rPr>
            </w:pPr>
            <w:r>
              <w:rPr>
                <w:sz w:val="24"/>
                <w:szCs w:val="24"/>
              </w:rPr>
              <w:t>γ</w:t>
            </w:r>
            <w:r>
              <w:rPr>
                <w:sz w:val="24"/>
                <w:szCs w:val="24"/>
              </w:rPr>
              <w:t>辐射空气吸收</w:t>
            </w:r>
            <w:r>
              <w:rPr>
                <w:sz w:val="24"/>
                <w:szCs w:val="24"/>
              </w:rPr>
              <w:br/>
            </w:r>
            <w:r>
              <w:rPr>
                <w:sz w:val="24"/>
                <w:szCs w:val="24"/>
              </w:rPr>
              <w:t>剂量率</w:t>
            </w:r>
          </w:p>
        </w:tc>
        <w:tc>
          <w:tcPr>
            <w:tcW w:w="1106" w:type="dxa"/>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440" w:type="dxa"/>
            <w:vMerge/>
            <w:tcBorders>
              <w:top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979"/>
          <w:jc w:val="center"/>
        </w:trPr>
        <w:tc>
          <w:tcPr>
            <w:tcW w:w="831"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地表水</w:t>
            </w:r>
          </w:p>
        </w:tc>
        <w:tc>
          <w:tcPr>
            <w:tcW w:w="3338"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排放口上游</w:t>
            </w:r>
            <w:r>
              <w:rPr>
                <w:sz w:val="24"/>
                <w:szCs w:val="24"/>
              </w:rPr>
              <w:t>500</w:t>
            </w:r>
            <w:r>
              <w:rPr>
                <w:sz w:val="24"/>
                <w:szCs w:val="24"/>
              </w:rPr>
              <w:t>米、下游</w:t>
            </w:r>
            <w:r>
              <w:rPr>
                <w:sz w:val="24"/>
                <w:szCs w:val="24"/>
              </w:rPr>
              <w:t>1000</w:t>
            </w:r>
            <w:r>
              <w:rPr>
                <w:sz w:val="24"/>
                <w:szCs w:val="24"/>
              </w:rPr>
              <w:t>米范围</w:t>
            </w:r>
          </w:p>
        </w:tc>
        <w:tc>
          <w:tcPr>
            <w:tcW w:w="918" w:type="dxa"/>
            <w:noWrap/>
            <w:vAlign w:val="center"/>
          </w:tcPr>
          <w:p w:rsidR="007F0AAE" w:rsidRDefault="00893899">
            <w:pPr>
              <w:pStyle w:val="TableText"/>
              <w:spacing w:line="320" w:lineRule="exact"/>
              <w:jc w:val="center"/>
              <w:rPr>
                <w:sz w:val="24"/>
                <w:szCs w:val="24"/>
              </w:rPr>
            </w:pPr>
            <w:r>
              <w:rPr>
                <w:sz w:val="24"/>
                <w:szCs w:val="24"/>
              </w:rPr>
              <w:t>伴生铀</w:t>
            </w:r>
          </w:p>
        </w:tc>
        <w:tc>
          <w:tcPr>
            <w:tcW w:w="1438" w:type="dxa"/>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r>
              <w:rPr>
                <w:sz w:val="24"/>
                <w:szCs w:val="24"/>
              </w:rPr>
              <w:t>、</w:t>
            </w:r>
            <w:r>
              <w:rPr>
                <w:sz w:val="24"/>
                <w:szCs w:val="24"/>
                <w:vertAlign w:val="superscript"/>
              </w:rPr>
              <w:t>226</w:t>
            </w:r>
            <w:r>
              <w:rPr>
                <w:sz w:val="24"/>
                <w:szCs w:val="24"/>
              </w:rPr>
              <w:t>Ra</w:t>
            </w:r>
          </w:p>
        </w:tc>
        <w:tc>
          <w:tcPr>
            <w:tcW w:w="1106"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440" w:type="dxa"/>
            <w:vMerge w:val="restart"/>
            <w:tcBorders>
              <w:bottom w:val="nil"/>
              <w:right w:val="single" w:sz="6" w:space="0" w:color="000000"/>
            </w:tcBorders>
            <w:noWrap/>
            <w:vAlign w:val="center"/>
          </w:tcPr>
          <w:p w:rsidR="007F0AAE" w:rsidRDefault="00893899">
            <w:pPr>
              <w:pStyle w:val="TableText"/>
              <w:spacing w:line="320" w:lineRule="exact"/>
              <w:jc w:val="center"/>
              <w:rPr>
                <w:sz w:val="24"/>
                <w:szCs w:val="24"/>
              </w:rPr>
            </w:pPr>
            <w:r>
              <w:rPr>
                <w:sz w:val="24"/>
                <w:szCs w:val="24"/>
              </w:rPr>
              <w:t>如果有汇入支流，在汇入口的前后均需取样</w:t>
            </w:r>
          </w:p>
        </w:tc>
      </w:tr>
      <w:tr w:rsidR="007F0AAE">
        <w:trPr>
          <w:trHeight w:val="744"/>
          <w:jc w:val="center"/>
        </w:trPr>
        <w:tc>
          <w:tcPr>
            <w:tcW w:w="831" w:type="dxa"/>
            <w:vMerge/>
            <w:tcBorders>
              <w:top w:val="nil"/>
              <w:left w:val="single" w:sz="6" w:space="0" w:color="000000"/>
            </w:tcBorders>
            <w:noWrap/>
            <w:vAlign w:val="center"/>
          </w:tcPr>
          <w:p w:rsidR="007F0AAE" w:rsidRDefault="007F0AAE">
            <w:pPr>
              <w:spacing w:line="320" w:lineRule="exact"/>
              <w:jc w:val="center"/>
              <w:rPr>
                <w:rFonts w:ascii="Arial"/>
                <w:sz w:val="24"/>
                <w:szCs w:val="24"/>
              </w:rPr>
            </w:pPr>
          </w:p>
        </w:tc>
        <w:tc>
          <w:tcPr>
            <w:tcW w:w="3338" w:type="dxa"/>
            <w:vMerge/>
            <w:tcBorders>
              <w:top w:val="nil"/>
            </w:tcBorders>
            <w:noWrap/>
            <w:vAlign w:val="center"/>
          </w:tcPr>
          <w:p w:rsidR="007F0AAE" w:rsidRDefault="007F0AAE">
            <w:pPr>
              <w:spacing w:line="320" w:lineRule="exact"/>
              <w:jc w:val="center"/>
              <w:rPr>
                <w:rFonts w:ascii="Arial"/>
                <w:sz w:val="24"/>
                <w:szCs w:val="24"/>
              </w:rPr>
            </w:pPr>
          </w:p>
        </w:tc>
        <w:tc>
          <w:tcPr>
            <w:tcW w:w="918" w:type="dxa"/>
            <w:noWrap/>
            <w:vAlign w:val="center"/>
          </w:tcPr>
          <w:p w:rsidR="007F0AAE" w:rsidRDefault="00893899">
            <w:pPr>
              <w:pStyle w:val="TableText"/>
              <w:spacing w:line="320" w:lineRule="exact"/>
              <w:jc w:val="center"/>
              <w:rPr>
                <w:sz w:val="24"/>
                <w:szCs w:val="24"/>
              </w:rPr>
            </w:pPr>
            <w:r>
              <w:rPr>
                <w:sz w:val="24"/>
                <w:szCs w:val="24"/>
              </w:rPr>
              <w:t>伴生钍</w:t>
            </w:r>
          </w:p>
        </w:tc>
        <w:tc>
          <w:tcPr>
            <w:tcW w:w="1438" w:type="dxa"/>
            <w:noWrap/>
            <w:vAlign w:val="center"/>
          </w:tcPr>
          <w:p w:rsidR="007F0AAE" w:rsidRDefault="00893899">
            <w:pPr>
              <w:pStyle w:val="TableText"/>
              <w:spacing w:line="320" w:lineRule="exact"/>
              <w:jc w:val="center"/>
              <w:rPr>
                <w:sz w:val="24"/>
                <w:szCs w:val="24"/>
              </w:rPr>
            </w:pPr>
            <w:r>
              <w:rPr>
                <w:sz w:val="24"/>
                <w:szCs w:val="24"/>
              </w:rPr>
              <w:t>Th</w:t>
            </w:r>
          </w:p>
        </w:tc>
        <w:tc>
          <w:tcPr>
            <w:tcW w:w="1106" w:type="dxa"/>
            <w:vMerge/>
            <w:tcBorders>
              <w:top w:val="nil"/>
            </w:tcBorders>
            <w:noWrap/>
            <w:vAlign w:val="center"/>
          </w:tcPr>
          <w:p w:rsidR="007F0AAE" w:rsidRDefault="007F0AAE">
            <w:pPr>
              <w:spacing w:line="320" w:lineRule="exact"/>
              <w:jc w:val="center"/>
              <w:rPr>
                <w:rFonts w:ascii="Arial"/>
                <w:sz w:val="24"/>
                <w:szCs w:val="24"/>
              </w:rPr>
            </w:pPr>
          </w:p>
        </w:tc>
        <w:tc>
          <w:tcPr>
            <w:tcW w:w="1440" w:type="dxa"/>
            <w:vMerge/>
            <w:tcBorders>
              <w:top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671"/>
          <w:jc w:val="center"/>
        </w:trPr>
        <w:tc>
          <w:tcPr>
            <w:tcW w:w="831"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地下水</w:t>
            </w:r>
          </w:p>
        </w:tc>
        <w:tc>
          <w:tcPr>
            <w:tcW w:w="3338"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尾矿（渣）库、采场、堆场及工业场地附近</w:t>
            </w:r>
            <w:r>
              <w:rPr>
                <w:sz w:val="24"/>
                <w:szCs w:val="24"/>
              </w:rPr>
              <w:t>200</w:t>
            </w:r>
            <w:r>
              <w:rPr>
                <w:sz w:val="24"/>
                <w:szCs w:val="24"/>
              </w:rPr>
              <w:t>米内具有代表性的居民饮用水井或灌溉水井</w:t>
            </w:r>
          </w:p>
        </w:tc>
        <w:tc>
          <w:tcPr>
            <w:tcW w:w="918" w:type="dxa"/>
            <w:noWrap/>
            <w:vAlign w:val="center"/>
          </w:tcPr>
          <w:p w:rsidR="007F0AAE" w:rsidRDefault="00893899">
            <w:pPr>
              <w:pStyle w:val="TableText"/>
              <w:spacing w:line="320" w:lineRule="exact"/>
              <w:jc w:val="center"/>
              <w:rPr>
                <w:sz w:val="24"/>
                <w:szCs w:val="24"/>
              </w:rPr>
            </w:pPr>
            <w:r>
              <w:rPr>
                <w:sz w:val="24"/>
                <w:szCs w:val="24"/>
              </w:rPr>
              <w:t>伴生铀</w:t>
            </w:r>
          </w:p>
        </w:tc>
        <w:tc>
          <w:tcPr>
            <w:tcW w:w="1438" w:type="dxa"/>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r>
              <w:rPr>
                <w:sz w:val="24"/>
                <w:szCs w:val="24"/>
              </w:rPr>
              <w:t>、</w:t>
            </w:r>
            <w:r>
              <w:rPr>
                <w:sz w:val="24"/>
                <w:szCs w:val="24"/>
                <w:vertAlign w:val="superscript"/>
              </w:rPr>
              <w:t>226</w:t>
            </w:r>
            <w:r>
              <w:rPr>
                <w:sz w:val="24"/>
                <w:szCs w:val="24"/>
              </w:rPr>
              <w:t>Ra</w:t>
            </w:r>
          </w:p>
        </w:tc>
        <w:tc>
          <w:tcPr>
            <w:tcW w:w="1106"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年</w:t>
            </w:r>
          </w:p>
        </w:tc>
        <w:tc>
          <w:tcPr>
            <w:tcW w:w="1440" w:type="dxa"/>
            <w:vMerge w:val="restart"/>
            <w:tcBorders>
              <w:bottom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716"/>
          <w:jc w:val="center"/>
        </w:trPr>
        <w:tc>
          <w:tcPr>
            <w:tcW w:w="831" w:type="dxa"/>
            <w:vMerge/>
            <w:tcBorders>
              <w:top w:val="nil"/>
              <w:left w:val="single" w:sz="6" w:space="0" w:color="000000"/>
            </w:tcBorders>
            <w:noWrap/>
            <w:vAlign w:val="center"/>
          </w:tcPr>
          <w:p w:rsidR="007F0AAE" w:rsidRDefault="007F0AAE">
            <w:pPr>
              <w:spacing w:line="320" w:lineRule="exact"/>
              <w:jc w:val="center"/>
              <w:rPr>
                <w:rFonts w:ascii="Arial"/>
                <w:sz w:val="24"/>
                <w:szCs w:val="24"/>
              </w:rPr>
            </w:pPr>
          </w:p>
        </w:tc>
        <w:tc>
          <w:tcPr>
            <w:tcW w:w="3338" w:type="dxa"/>
            <w:vMerge/>
            <w:tcBorders>
              <w:top w:val="nil"/>
            </w:tcBorders>
            <w:noWrap/>
            <w:vAlign w:val="center"/>
          </w:tcPr>
          <w:p w:rsidR="007F0AAE" w:rsidRDefault="007F0AAE">
            <w:pPr>
              <w:spacing w:line="320" w:lineRule="exact"/>
              <w:jc w:val="center"/>
              <w:rPr>
                <w:rFonts w:ascii="Arial"/>
                <w:sz w:val="24"/>
                <w:szCs w:val="24"/>
              </w:rPr>
            </w:pPr>
          </w:p>
        </w:tc>
        <w:tc>
          <w:tcPr>
            <w:tcW w:w="918" w:type="dxa"/>
            <w:noWrap/>
            <w:vAlign w:val="center"/>
          </w:tcPr>
          <w:p w:rsidR="007F0AAE" w:rsidRDefault="00893899">
            <w:pPr>
              <w:pStyle w:val="TableText"/>
              <w:spacing w:line="320" w:lineRule="exact"/>
              <w:jc w:val="center"/>
              <w:rPr>
                <w:sz w:val="24"/>
                <w:szCs w:val="24"/>
              </w:rPr>
            </w:pPr>
            <w:r>
              <w:rPr>
                <w:sz w:val="24"/>
                <w:szCs w:val="24"/>
              </w:rPr>
              <w:t>伴生钍</w:t>
            </w:r>
          </w:p>
        </w:tc>
        <w:tc>
          <w:tcPr>
            <w:tcW w:w="1438" w:type="dxa"/>
            <w:noWrap/>
            <w:vAlign w:val="center"/>
          </w:tcPr>
          <w:p w:rsidR="007F0AAE" w:rsidRDefault="00893899">
            <w:pPr>
              <w:pStyle w:val="TableText"/>
              <w:spacing w:line="320" w:lineRule="exact"/>
              <w:jc w:val="center"/>
              <w:rPr>
                <w:sz w:val="24"/>
                <w:szCs w:val="24"/>
              </w:rPr>
            </w:pPr>
            <w:r>
              <w:rPr>
                <w:sz w:val="24"/>
                <w:szCs w:val="24"/>
              </w:rPr>
              <w:t>Th</w:t>
            </w:r>
          </w:p>
        </w:tc>
        <w:tc>
          <w:tcPr>
            <w:tcW w:w="1106" w:type="dxa"/>
            <w:vMerge/>
            <w:tcBorders>
              <w:top w:val="nil"/>
            </w:tcBorders>
            <w:noWrap/>
            <w:vAlign w:val="center"/>
          </w:tcPr>
          <w:p w:rsidR="007F0AAE" w:rsidRDefault="007F0AAE">
            <w:pPr>
              <w:spacing w:line="320" w:lineRule="exact"/>
              <w:jc w:val="center"/>
              <w:rPr>
                <w:rFonts w:ascii="Arial"/>
                <w:sz w:val="24"/>
                <w:szCs w:val="24"/>
              </w:rPr>
            </w:pPr>
          </w:p>
        </w:tc>
        <w:tc>
          <w:tcPr>
            <w:tcW w:w="1440" w:type="dxa"/>
            <w:vMerge/>
            <w:tcBorders>
              <w:top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733"/>
          <w:jc w:val="center"/>
        </w:trPr>
        <w:tc>
          <w:tcPr>
            <w:tcW w:w="831"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土壤</w:t>
            </w:r>
          </w:p>
        </w:tc>
        <w:tc>
          <w:tcPr>
            <w:tcW w:w="3338"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厂界四周</w:t>
            </w:r>
            <w:r>
              <w:rPr>
                <w:sz w:val="24"/>
                <w:szCs w:val="24"/>
              </w:rPr>
              <w:t>500</w:t>
            </w:r>
            <w:r>
              <w:rPr>
                <w:sz w:val="24"/>
                <w:szCs w:val="24"/>
              </w:rPr>
              <w:t>米范围内土壤；排风井、排气口最大风频下风向</w:t>
            </w:r>
            <w:r>
              <w:rPr>
                <w:sz w:val="24"/>
                <w:szCs w:val="24"/>
              </w:rPr>
              <w:t>500</w:t>
            </w:r>
            <w:r>
              <w:rPr>
                <w:sz w:val="24"/>
                <w:szCs w:val="24"/>
              </w:rPr>
              <w:t>米范围内土壤；厂界和废水排放口最近的农田；对照点</w:t>
            </w:r>
          </w:p>
        </w:tc>
        <w:tc>
          <w:tcPr>
            <w:tcW w:w="918" w:type="dxa"/>
            <w:noWrap/>
            <w:vAlign w:val="center"/>
          </w:tcPr>
          <w:p w:rsidR="007F0AAE" w:rsidRDefault="00893899">
            <w:pPr>
              <w:pStyle w:val="TableText"/>
              <w:spacing w:line="320" w:lineRule="exact"/>
              <w:jc w:val="center"/>
              <w:rPr>
                <w:sz w:val="24"/>
                <w:szCs w:val="24"/>
              </w:rPr>
            </w:pPr>
            <w:r>
              <w:rPr>
                <w:sz w:val="24"/>
                <w:szCs w:val="24"/>
              </w:rPr>
              <w:t>伴生铀</w:t>
            </w:r>
          </w:p>
        </w:tc>
        <w:tc>
          <w:tcPr>
            <w:tcW w:w="1438" w:type="dxa"/>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r>
              <w:rPr>
                <w:sz w:val="24"/>
                <w:szCs w:val="24"/>
              </w:rPr>
              <w:t>、</w:t>
            </w:r>
            <w:r>
              <w:rPr>
                <w:sz w:val="24"/>
                <w:szCs w:val="24"/>
                <w:vertAlign w:val="superscript"/>
              </w:rPr>
              <w:t>226</w:t>
            </w:r>
            <w:r>
              <w:rPr>
                <w:sz w:val="24"/>
                <w:szCs w:val="24"/>
              </w:rPr>
              <w:t>Ra</w:t>
            </w:r>
          </w:p>
        </w:tc>
        <w:tc>
          <w:tcPr>
            <w:tcW w:w="1106"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年</w:t>
            </w:r>
          </w:p>
        </w:tc>
        <w:tc>
          <w:tcPr>
            <w:tcW w:w="1440" w:type="dxa"/>
            <w:vMerge w:val="restart"/>
            <w:tcBorders>
              <w:bottom w:val="nil"/>
              <w:right w:val="single" w:sz="6" w:space="0" w:color="000000"/>
            </w:tcBorders>
            <w:noWrap/>
            <w:vAlign w:val="center"/>
          </w:tcPr>
          <w:p w:rsidR="007F0AAE" w:rsidRDefault="00893899">
            <w:pPr>
              <w:pStyle w:val="TableText"/>
              <w:spacing w:line="320" w:lineRule="exact"/>
              <w:jc w:val="center"/>
              <w:rPr>
                <w:sz w:val="24"/>
                <w:szCs w:val="24"/>
              </w:rPr>
            </w:pPr>
            <w:r>
              <w:rPr>
                <w:sz w:val="24"/>
                <w:szCs w:val="24"/>
              </w:rPr>
              <w:t>包括排气口最大落地点附近的土壤</w:t>
            </w:r>
          </w:p>
        </w:tc>
      </w:tr>
      <w:tr w:rsidR="007F0AAE">
        <w:trPr>
          <w:trHeight w:val="649"/>
          <w:jc w:val="center"/>
        </w:trPr>
        <w:tc>
          <w:tcPr>
            <w:tcW w:w="831" w:type="dxa"/>
            <w:vMerge/>
            <w:tcBorders>
              <w:top w:val="nil"/>
              <w:left w:val="single" w:sz="6" w:space="0" w:color="000000"/>
            </w:tcBorders>
            <w:noWrap/>
            <w:vAlign w:val="center"/>
          </w:tcPr>
          <w:p w:rsidR="007F0AAE" w:rsidRDefault="007F0AAE">
            <w:pPr>
              <w:spacing w:line="320" w:lineRule="exact"/>
              <w:jc w:val="center"/>
              <w:rPr>
                <w:rFonts w:ascii="Arial"/>
                <w:sz w:val="24"/>
                <w:szCs w:val="24"/>
              </w:rPr>
            </w:pPr>
          </w:p>
        </w:tc>
        <w:tc>
          <w:tcPr>
            <w:tcW w:w="3338" w:type="dxa"/>
            <w:vMerge/>
            <w:tcBorders>
              <w:top w:val="nil"/>
            </w:tcBorders>
            <w:noWrap/>
            <w:vAlign w:val="center"/>
          </w:tcPr>
          <w:p w:rsidR="007F0AAE" w:rsidRDefault="007F0AAE">
            <w:pPr>
              <w:spacing w:line="320" w:lineRule="exact"/>
              <w:jc w:val="center"/>
              <w:rPr>
                <w:rFonts w:ascii="Arial"/>
                <w:sz w:val="24"/>
                <w:szCs w:val="24"/>
              </w:rPr>
            </w:pPr>
          </w:p>
        </w:tc>
        <w:tc>
          <w:tcPr>
            <w:tcW w:w="918" w:type="dxa"/>
            <w:noWrap/>
            <w:vAlign w:val="center"/>
          </w:tcPr>
          <w:p w:rsidR="007F0AAE" w:rsidRDefault="00893899">
            <w:pPr>
              <w:pStyle w:val="TableText"/>
              <w:spacing w:line="320" w:lineRule="exact"/>
              <w:jc w:val="center"/>
              <w:rPr>
                <w:sz w:val="24"/>
                <w:szCs w:val="24"/>
              </w:rPr>
            </w:pPr>
            <w:r>
              <w:rPr>
                <w:sz w:val="24"/>
                <w:szCs w:val="24"/>
              </w:rPr>
              <w:t>伴生钍</w:t>
            </w:r>
          </w:p>
        </w:tc>
        <w:tc>
          <w:tcPr>
            <w:tcW w:w="1438" w:type="dxa"/>
            <w:noWrap/>
            <w:vAlign w:val="center"/>
          </w:tcPr>
          <w:p w:rsidR="007F0AAE" w:rsidRDefault="00893899">
            <w:pPr>
              <w:pStyle w:val="TableText"/>
              <w:spacing w:line="320" w:lineRule="exact"/>
              <w:jc w:val="center"/>
              <w:rPr>
                <w:sz w:val="24"/>
                <w:szCs w:val="24"/>
              </w:rPr>
            </w:pPr>
            <w:r>
              <w:rPr>
                <w:sz w:val="24"/>
                <w:szCs w:val="24"/>
              </w:rPr>
              <w:t>Th</w:t>
            </w:r>
          </w:p>
        </w:tc>
        <w:tc>
          <w:tcPr>
            <w:tcW w:w="1106" w:type="dxa"/>
            <w:vMerge/>
            <w:tcBorders>
              <w:top w:val="nil"/>
            </w:tcBorders>
            <w:noWrap/>
            <w:vAlign w:val="center"/>
          </w:tcPr>
          <w:p w:rsidR="007F0AAE" w:rsidRDefault="007F0AAE">
            <w:pPr>
              <w:spacing w:line="320" w:lineRule="exact"/>
              <w:jc w:val="center"/>
              <w:rPr>
                <w:rFonts w:ascii="Arial"/>
                <w:sz w:val="24"/>
                <w:szCs w:val="24"/>
              </w:rPr>
            </w:pPr>
          </w:p>
        </w:tc>
        <w:tc>
          <w:tcPr>
            <w:tcW w:w="1440" w:type="dxa"/>
            <w:vMerge/>
            <w:tcBorders>
              <w:top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500"/>
          <w:jc w:val="center"/>
        </w:trPr>
        <w:tc>
          <w:tcPr>
            <w:tcW w:w="831" w:type="dxa"/>
            <w:vMerge w:val="restart"/>
            <w:tcBorders>
              <w:left w:val="single" w:sz="6" w:space="0" w:color="000000"/>
              <w:bottom w:val="nil"/>
            </w:tcBorders>
            <w:noWrap/>
            <w:vAlign w:val="center"/>
          </w:tcPr>
          <w:p w:rsidR="007F0AAE" w:rsidRDefault="00893899">
            <w:pPr>
              <w:pStyle w:val="TableText"/>
              <w:spacing w:line="320" w:lineRule="exact"/>
              <w:jc w:val="center"/>
              <w:rPr>
                <w:sz w:val="24"/>
                <w:szCs w:val="24"/>
              </w:rPr>
            </w:pPr>
            <w:r>
              <w:rPr>
                <w:sz w:val="24"/>
                <w:szCs w:val="24"/>
              </w:rPr>
              <w:t>底泥</w:t>
            </w:r>
          </w:p>
        </w:tc>
        <w:tc>
          <w:tcPr>
            <w:tcW w:w="3338"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同地表水取样点</w:t>
            </w:r>
          </w:p>
        </w:tc>
        <w:tc>
          <w:tcPr>
            <w:tcW w:w="918" w:type="dxa"/>
            <w:noWrap/>
            <w:vAlign w:val="center"/>
          </w:tcPr>
          <w:p w:rsidR="007F0AAE" w:rsidRDefault="00893899">
            <w:pPr>
              <w:pStyle w:val="TableText"/>
              <w:spacing w:line="320" w:lineRule="exact"/>
              <w:jc w:val="center"/>
              <w:rPr>
                <w:sz w:val="24"/>
                <w:szCs w:val="24"/>
              </w:rPr>
            </w:pPr>
            <w:r>
              <w:rPr>
                <w:sz w:val="24"/>
                <w:szCs w:val="24"/>
              </w:rPr>
              <w:t>伴生铀</w:t>
            </w:r>
          </w:p>
        </w:tc>
        <w:tc>
          <w:tcPr>
            <w:tcW w:w="1438" w:type="dxa"/>
            <w:noWrap/>
            <w:vAlign w:val="center"/>
          </w:tcPr>
          <w:p w:rsidR="007F0AAE" w:rsidRDefault="00893899">
            <w:pPr>
              <w:pStyle w:val="TableText"/>
              <w:spacing w:line="320" w:lineRule="exact"/>
              <w:jc w:val="center"/>
              <w:rPr>
                <w:sz w:val="24"/>
                <w:szCs w:val="24"/>
              </w:rPr>
            </w:pPr>
            <w:r>
              <w:rPr>
                <w:sz w:val="24"/>
                <w:szCs w:val="24"/>
              </w:rPr>
              <w:t>U</w:t>
            </w:r>
            <w:r>
              <w:rPr>
                <w:sz w:val="24"/>
                <w:szCs w:val="24"/>
                <w:vertAlign w:val="subscript"/>
              </w:rPr>
              <w:t>天然</w:t>
            </w:r>
            <w:r>
              <w:rPr>
                <w:sz w:val="24"/>
                <w:szCs w:val="24"/>
              </w:rPr>
              <w:t>、</w:t>
            </w:r>
            <w:r>
              <w:rPr>
                <w:sz w:val="24"/>
                <w:szCs w:val="24"/>
                <w:vertAlign w:val="superscript"/>
              </w:rPr>
              <w:t>226</w:t>
            </w:r>
            <w:r>
              <w:rPr>
                <w:sz w:val="24"/>
                <w:szCs w:val="24"/>
              </w:rPr>
              <w:t>Ra</w:t>
            </w:r>
          </w:p>
        </w:tc>
        <w:tc>
          <w:tcPr>
            <w:tcW w:w="1106" w:type="dxa"/>
            <w:vMerge w:val="restart"/>
            <w:tcBorders>
              <w:bottom w:val="nil"/>
            </w:tcBorders>
            <w:noWrap/>
            <w:vAlign w:val="center"/>
          </w:tcPr>
          <w:p w:rsidR="007F0AAE" w:rsidRDefault="00893899">
            <w:pPr>
              <w:pStyle w:val="TableText"/>
              <w:spacing w:line="320" w:lineRule="exact"/>
              <w:jc w:val="center"/>
              <w:rPr>
                <w:sz w:val="24"/>
                <w:szCs w:val="24"/>
              </w:rPr>
            </w:pPr>
            <w:r>
              <w:rPr>
                <w:sz w:val="24"/>
                <w:szCs w:val="24"/>
              </w:rPr>
              <w:t>1</w:t>
            </w:r>
            <w:r>
              <w:rPr>
                <w:sz w:val="24"/>
                <w:szCs w:val="24"/>
              </w:rPr>
              <w:t>次</w:t>
            </w:r>
            <w:r>
              <w:rPr>
                <w:sz w:val="24"/>
                <w:szCs w:val="24"/>
              </w:rPr>
              <w:t>/</w:t>
            </w:r>
            <w:r>
              <w:rPr>
                <w:sz w:val="24"/>
                <w:szCs w:val="24"/>
              </w:rPr>
              <w:t>半年</w:t>
            </w:r>
          </w:p>
        </w:tc>
        <w:tc>
          <w:tcPr>
            <w:tcW w:w="1440" w:type="dxa"/>
            <w:vMerge w:val="restart"/>
            <w:tcBorders>
              <w:bottom w:val="nil"/>
              <w:right w:val="single" w:sz="6" w:space="0" w:color="000000"/>
            </w:tcBorders>
            <w:noWrap/>
            <w:vAlign w:val="center"/>
          </w:tcPr>
          <w:p w:rsidR="007F0AAE" w:rsidRDefault="007F0AAE">
            <w:pPr>
              <w:spacing w:line="320" w:lineRule="exact"/>
              <w:jc w:val="center"/>
              <w:rPr>
                <w:rFonts w:ascii="Arial"/>
                <w:sz w:val="24"/>
                <w:szCs w:val="24"/>
              </w:rPr>
            </w:pPr>
          </w:p>
        </w:tc>
      </w:tr>
      <w:tr w:rsidR="007F0AAE">
        <w:trPr>
          <w:trHeight w:val="600"/>
          <w:jc w:val="center"/>
        </w:trPr>
        <w:tc>
          <w:tcPr>
            <w:tcW w:w="831" w:type="dxa"/>
            <w:vMerge/>
            <w:tcBorders>
              <w:top w:val="nil"/>
              <w:left w:val="single" w:sz="6" w:space="0" w:color="000000"/>
              <w:bottom w:val="single" w:sz="6" w:space="0" w:color="000000"/>
            </w:tcBorders>
            <w:noWrap/>
            <w:vAlign w:val="center"/>
          </w:tcPr>
          <w:p w:rsidR="007F0AAE" w:rsidRDefault="007F0AAE">
            <w:pPr>
              <w:spacing w:line="320" w:lineRule="exact"/>
              <w:jc w:val="center"/>
              <w:rPr>
                <w:rFonts w:ascii="Arial"/>
                <w:sz w:val="24"/>
                <w:szCs w:val="24"/>
              </w:rPr>
            </w:pPr>
          </w:p>
        </w:tc>
        <w:tc>
          <w:tcPr>
            <w:tcW w:w="3338" w:type="dxa"/>
            <w:vMerge/>
            <w:tcBorders>
              <w:top w:val="nil"/>
              <w:bottom w:val="single" w:sz="6" w:space="0" w:color="000000"/>
            </w:tcBorders>
            <w:noWrap/>
            <w:vAlign w:val="center"/>
          </w:tcPr>
          <w:p w:rsidR="007F0AAE" w:rsidRDefault="007F0AAE">
            <w:pPr>
              <w:spacing w:line="320" w:lineRule="exact"/>
              <w:jc w:val="center"/>
              <w:rPr>
                <w:rFonts w:ascii="Arial"/>
                <w:sz w:val="24"/>
                <w:szCs w:val="24"/>
              </w:rPr>
            </w:pPr>
          </w:p>
        </w:tc>
        <w:tc>
          <w:tcPr>
            <w:tcW w:w="918" w:type="dxa"/>
            <w:tcBorders>
              <w:bottom w:val="single" w:sz="6" w:space="0" w:color="000000"/>
            </w:tcBorders>
            <w:noWrap/>
            <w:vAlign w:val="center"/>
          </w:tcPr>
          <w:p w:rsidR="007F0AAE" w:rsidRDefault="00893899">
            <w:pPr>
              <w:pStyle w:val="TableText"/>
              <w:spacing w:line="320" w:lineRule="exact"/>
              <w:jc w:val="center"/>
              <w:rPr>
                <w:sz w:val="24"/>
                <w:szCs w:val="24"/>
              </w:rPr>
            </w:pPr>
            <w:r>
              <w:rPr>
                <w:sz w:val="24"/>
                <w:szCs w:val="24"/>
              </w:rPr>
              <w:t>伴生钍</w:t>
            </w:r>
          </w:p>
        </w:tc>
        <w:tc>
          <w:tcPr>
            <w:tcW w:w="1438" w:type="dxa"/>
            <w:tcBorders>
              <w:bottom w:val="single" w:sz="6" w:space="0" w:color="000000"/>
            </w:tcBorders>
            <w:noWrap/>
            <w:vAlign w:val="center"/>
          </w:tcPr>
          <w:p w:rsidR="007F0AAE" w:rsidRDefault="00893899">
            <w:pPr>
              <w:pStyle w:val="TableText"/>
              <w:spacing w:line="320" w:lineRule="exact"/>
              <w:jc w:val="center"/>
              <w:rPr>
                <w:sz w:val="24"/>
                <w:szCs w:val="24"/>
              </w:rPr>
            </w:pPr>
            <w:r>
              <w:rPr>
                <w:sz w:val="24"/>
                <w:szCs w:val="24"/>
              </w:rPr>
              <w:t>Th</w:t>
            </w:r>
          </w:p>
        </w:tc>
        <w:tc>
          <w:tcPr>
            <w:tcW w:w="1106" w:type="dxa"/>
            <w:vMerge/>
            <w:tcBorders>
              <w:top w:val="nil"/>
              <w:bottom w:val="single" w:sz="6" w:space="0" w:color="000000"/>
            </w:tcBorders>
            <w:noWrap/>
            <w:vAlign w:val="center"/>
          </w:tcPr>
          <w:p w:rsidR="007F0AAE" w:rsidRDefault="007F0AAE">
            <w:pPr>
              <w:spacing w:line="320" w:lineRule="exact"/>
              <w:jc w:val="center"/>
              <w:rPr>
                <w:rFonts w:ascii="Arial"/>
                <w:sz w:val="24"/>
                <w:szCs w:val="24"/>
              </w:rPr>
            </w:pPr>
          </w:p>
        </w:tc>
        <w:tc>
          <w:tcPr>
            <w:tcW w:w="1440" w:type="dxa"/>
            <w:vMerge/>
            <w:tcBorders>
              <w:top w:val="nil"/>
              <w:bottom w:val="single" w:sz="6" w:space="0" w:color="000000"/>
              <w:right w:val="single" w:sz="6" w:space="0" w:color="000000"/>
            </w:tcBorders>
            <w:noWrap/>
            <w:vAlign w:val="center"/>
          </w:tcPr>
          <w:p w:rsidR="007F0AAE" w:rsidRDefault="007F0AAE">
            <w:pPr>
              <w:spacing w:line="320" w:lineRule="exact"/>
              <w:jc w:val="center"/>
              <w:rPr>
                <w:rFonts w:ascii="Arial"/>
                <w:sz w:val="24"/>
                <w:szCs w:val="24"/>
              </w:rPr>
            </w:pPr>
          </w:p>
        </w:tc>
      </w:tr>
    </w:tbl>
    <w:p w:rsidR="007F0AAE" w:rsidRDefault="00893899">
      <w:pPr>
        <w:spacing w:line="540" w:lineRule="exact"/>
        <w:ind w:firstLineChars="200" w:firstLine="640"/>
        <w:outlineLvl w:val="0"/>
        <w:rPr>
          <w:rFonts w:ascii="黑体" w:eastAsia="黑体" w:hAnsi="黑体" w:cs="黑体"/>
          <w:szCs w:val="32"/>
        </w:rPr>
      </w:pPr>
      <w:r>
        <w:rPr>
          <w:rFonts w:ascii="黑体" w:eastAsia="黑体" w:hAnsi="黑体" w:cs="黑体" w:hint="eastAsia"/>
          <w:szCs w:val="32"/>
        </w:rPr>
        <w:t>6.</w:t>
      </w:r>
      <w:r>
        <w:rPr>
          <w:rFonts w:ascii="黑体" w:eastAsia="黑体" w:hAnsi="黑体" w:cs="黑体" w:hint="eastAsia"/>
          <w:szCs w:val="32"/>
        </w:rPr>
        <w:t>样品的采集、保存和管理</w:t>
      </w:r>
    </w:p>
    <w:p w:rsidR="007F0AAE" w:rsidRDefault="00893899">
      <w:pPr>
        <w:spacing w:line="540" w:lineRule="exact"/>
        <w:ind w:firstLineChars="200" w:firstLine="640"/>
        <w:rPr>
          <w:rFonts w:ascii="仿宋_GB2312" w:hAnsi="仿宋_GB2312" w:cs="仿宋_GB2312"/>
          <w:szCs w:val="32"/>
        </w:rPr>
      </w:pPr>
      <w:r>
        <w:rPr>
          <w:rFonts w:ascii="仿宋_GB2312" w:hAnsi="仿宋_GB2312" w:cs="仿宋_GB2312" w:hint="eastAsia"/>
          <w:szCs w:val="32"/>
        </w:rPr>
        <w:t>样品的采集、保存和管理参考《铀矿冶辐射环境监测规</w:t>
      </w:r>
      <w:r>
        <w:rPr>
          <w:rFonts w:ascii="仿宋_GB2312" w:hAnsi="仿宋_GB2312" w:cs="仿宋_GB2312" w:hint="eastAsia"/>
          <w:szCs w:val="32"/>
        </w:rPr>
        <w:lastRenderedPageBreak/>
        <w:t>定》（</w:t>
      </w:r>
      <w:r>
        <w:rPr>
          <w:rFonts w:ascii="仿宋_GB2312" w:hAnsi="仿宋_GB2312" w:cs="仿宋_GB2312" w:hint="eastAsia"/>
          <w:szCs w:val="32"/>
        </w:rPr>
        <w:t>GB23726</w:t>
      </w:r>
      <w:r>
        <w:rPr>
          <w:rFonts w:ascii="仿宋_GB2312" w:hAnsi="仿宋_GB2312" w:cs="仿宋_GB2312" w:hint="eastAsia"/>
          <w:szCs w:val="32"/>
        </w:rPr>
        <w:t>）、《固定污染源排气中颗粒物测定与气态污染物采样方法》（</w:t>
      </w:r>
      <w:r>
        <w:rPr>
          <w:rFonts w:ascii="仿宋_GB2312" w:hAnsi="仿宋_GB2312" w:cs="仿宋_GB2312" w:hint="eastAsia"/>
          <w:szCs w:val="32"/>
        </w:rPr>
        <w:t>GB/T16157</w:t>
      </w:r>
      <w:r>
        <w:rPr>
          <w:rFonts w:ascii="仿宋_GB2312" w:hAnsi="仿宋_GB2312" w:cs="仿宋_GB2312" w:hint="eastAsia"/>
          <w:szCs w:val="32"/>
        </w:rPr>
        <w:t>）、《辐射环境监测技术规范》（</w:t>
      </w:r>
      <w:r>
        <w:rPr>
          <w:rFonts w:ascii="仿宋_GB2312" w:hAnsi="仿宋_GB2312" w:cs="仿宋_GB2312" w:hint="eastAsia"/>
          <w:szCs w:val="32"/>
        </w:rPr>
        <w:t>HJ61</w:t>
      </w:r>
      <w:r>
        <w:rPr>
          <w:rFonts w:ascii="仿宋_GB2312" w:hAnsi="仿宋_GB2312" w:cs="仿宋_GB2312" w:hint="eastAsia"/>
          <w:szCs w:val="32"/>
        </w:rPr>
        <w:t>）、《水质样品的保存和管理技术规定》（</w:t>
      </w:r>
      <w:r>
        <w:rPr>
          <w:rFonts w:ascii="仿宋_GB2312" w:hAnsi="仿宋_GB2312" w:cs="仿宋_GB2312" w:hint="eastAsia"/>
          <w:szCs w:val="32"/>
        </w:rPr>
        <w:t>HJ493</w:t>
      </w:r>
      <w:r>
        <w:rPr>
          <w:rFonts w:ascii="仿宋_GB2312" w:hAnsi="仿宋_GB2312" w:cs="仿宋_GB2312" w:hint="eastAsia"/>
          <w:szCs w:val="32"/>
        </w:rPr>
        <w:t>）、《水质采样技术指导》（</w:t>
      </w:r>
      <w:r>
        <w:rPr>
          <w:rFonts w:ascii="仿宋_GB2312" w:hAnsi="仿宋_GB2312" w:cs="仿宋_GB2312" w:hint="eastAsia"/>
          <w:szCs w:val="32"/>
        </w:rPr>
        <w:t>HJ494</w:t>
      </w:r>
      <w:r>
        <w:rPr>
          <w:rFonts w:ascii="仿宋_GB2312" w:hAnsi="仿宋_GB2312" w:cs="仿宋_GB2312" w:hint="eastAsia"/>
          <w:szCs w:val="32"/>
        </w:rPr>
        <w:t>）、《环境核辐射监测中土壤样品采集与制备的一般规定》（</w:t>
      </w:r>
      <w:r>
        <w:rPr>
          <w:rFonts w:ascii="仿宋_GB2312" w:hAnsi="仿宋_GB2312" w:cs="仿宋_GB2312" w:hint="eastAsia"/>
          <w:szCs w:val="32"/>
        </w:rPr>
        <w:t>EJ428</w:t>
      </w:r>
      <w:r>
        <w:rPr>
          <w:rFonts w:ascii="仿宋_GB2312" w:hAnsi="仿宋_GB2312" w:cs="仿宋_GB2312" w:hint="eastAsia"/>
          <w:szCs w:val="32"/>
        </w:rPr>
        <w:t>）等标准中相关要求执行。同时还要考虑以下几个方面：</w:t>
      </w:r>
    </w:p>
    <w:p w:rsidR="007F0AAE" w:rsidRDefault="00893899">
      <w:pPr>
        <w:spacing w:line="54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）排风井取样点应尽可能位于排风井口的中间位置；</w:t>
      </w:r>
    </w:p>
    <w:p w:rsidR="007F0AAE" w:rsidRDefault="00893899">
      <w:pPr>
        <w:spacing w:line="54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2</w:t>
      </w:r>
      <w:r>
        <w:rPr>
          <w:rFonts w:ascii="仿宋_GB2312" w:hAnsi="仿宋_GB2312" w:cs="仿宋_GB2312" w:hint="eastAsia"/>
          <w:szCs w:val="32"/>
        </w:rPr>
        <w:t>）在下风向采集样品时，应在最大风频的下风向；</w:t>
      </w:r>
    </w:p>
    <w:p w:rsidR="007F0AAE" w:rsidRDefault="00893899">
      <w:pPr>
        <w:pStyle w:val="a4"/>
        <w:spacing w:after="0" w:line="540" w:lineRule="exact"/>
        <w:ind w:firstLineChars="200" w:firstLine="640"/>
        <w:rPr>
          <w:rFonts w:ascii="仿宋_GB2312" w:eastAsia="仿宋_GB2312" w:hAnsi="仿宋_GB2312" w:cs="仿宋_GB2312"/>
        </w:rPr>
      </w:pPr>
      <w:r>
        <w:rPr>
          <w:rFonts w:ascii="仿宋_GB2312" w:hAnsi="仿宋_GB2312" w:cs="仿宋_GB2312" w:hint="eastAsia"/>
        </w:rPr>
        <w:t>（</w:t>
      </w:r>
      <w:r>
        <w:rPr>
          <w:rFonts w:ascii="仿宋_GB2312" w:hAnsi="仿宋_GB2312" w:cs="仿宋_GB2312" w:hint="eastAsia"/>
        </w:rPr>
        <w:t>3</w:t>
      </w:r>
      <w:r>
        <w:rPr>
          <w:rFonts w:ascii="仿宋_GB2312" w:hAnsi="仿宋_GB2312" w:cs="仿宋_GB2312" w:hint="eastAsia"/>
        </w:rPr>
        <w:t>）</w:t>
      </w:r>
      <w:r>
        <w:rPr>
          <w:rFonts w:ascii="仿宋_GB2312" w:eastAsia="仿宋_GB2312" w:hAnsi="仿宋_GB2312" w:cs="仿宋_GB2312" w:hint="eastAsia"/>
        </w:rPr>
        <w:t>水样采集后，用浓硝酸酸化到</w:t>
      </w:r>
      <w:r>
        <w:rPr>
          <w:rFonts w:ascii="仿宋_GB2312" w:hAnsi="仿宋_GB2312" w:cs="仿宋_GB2312" w:hint="eastAsia"/>
        </w:rPr>
        <w:t>p</w:t>
      </w:r>
      <w:r>
        <w:rPr>
          <w:rFonts w:ascii="仿宋_GB2312" w:eastAsia="仿宋_GB2312" w:hAnsi="仿宋_GB2312" w:cs="仿宋_GB2312" w:hint="eastAsia"/>
        </w:rPr>
        <w:t>H</w:t>
      </w:r>
      <w:r>
        <w:rPr>
          <w:rFonts w:ascii="仿宋_GB2312" w:eastAsia="仿宋_GB2312" w:hAnsi="仿宋_GB2312" w:cs="仿宋_GB2312" w:hint="eastAsia"/>
        </w:rPr>
        <w:t>值为</w:t>
      </w: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。当水中泥沙含量较高时，应澄清二十四小时后取上清液进行酸化；</w:t>
      </w:r>
    </w:p>
    <w:p w:rsidR="007F0AAE" w:rsidRDefault="00893899">
      <w:pPr>
        <w:pStyle w:val="a4"/>
        <w:spacing w:after="0"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）水样的保存期不超过两个月，铀、钍分析应该在一个月内完成。</w:t>
      </w:r>
    </w:p>
    <w:p w:rsidR="007F0AAE" w:rsidRDefault="00893899">
      <w:pPr>
        <w:pStyle w:val="a4"/>
        <w:spacing w:after="0" w:line="540" w:lineRule="exact"/>
        <w:ind w:firstLineChars="200" w:firstLine="640"/>
        <w:outlineLvl w:val="0"/>
        <w:rPr>
          <w:rFonts w:ascii="黑体" w:eastAsia="黑体" w:hAnsi="黑体" w:cs="黑体"/>
        </w:rPr>
      </w:pPr>
      <w:r>
        <w:rPr>
          <w:rFonts w:ascii="黑体" w:eastAsia="黑体" w:hAnsi="黑体" w:cs="黑体" w:hint="eastAsia"/>
        </w:rPr>
        <w:t>7.</w:t>
      </w:r>
      <w:r>
        <w:rPr>
          <w:rFonts w:ascii="黑体" w:eastAsia="黑体" w:hAnsi="黑体" w:cs="黑体" w:hint="eastAsia"/>
        </w:rPr>
        <w:t>分析方法</w:t>
      </w:r>
    </w:p>
    <w:p w:rsidR="007F0AAE" w:rsidRDefault="00893899">
      <w:pPr>
        <w:pStyle w:val="a4"/>
        <w:spacing w:after="0"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优先采用国家标准、环境保护行业标准和其他行业标准分析方法。如采用其他分析方法，则应是实验室资质认证范围内的分析方法。推荐使用的分析方法见表</w:t>
      </w:r>
      <w:r>
        <w:rPr>
          <w:rFonts w:ascii="仿宋_GB2312" w:eastAsia="仿宋_GB2312" w:hAnsi="仿宋_GB2312" w:cs="仿宋_GB2312" w:hint="eastAsia"/>
        </w:rPr>
        <w:t>3</w:t>
      </w:r>
      <w:r>
        <w:rPr>
          <w:rFonts w:ascii="仿宋_GB2312" w:eastAsia="仿宋_GB2312" w:hAnsi="仿宋_GB2312" w:cs="仿宋_GB2312" w:hint="eastAsia"/>
        </w:rPr>
        <w:t>。</w:t>
      </w:r>
    </w:p>
    <w:p w:rsidR="007F0AAE" w:rsidRDefault="00893899">
      <w:pPr>
        <w:pStyle w:val="a4"/>
        <w:spacing w:after="0" w:line="540" w:lineRule="exact"/>
        <w:ind w:firstLineChars="200" w:firstLine="640"/>
        <w:outlineLvl w:val="0"/>
        <w:rPr>
          <w:rFonts w:ascii="黑体" w:eastAsia="黑体" w:hAnsi="黑体" w:cs="黑体"/>
        </w:rPr>
      </w:pPr>
      <w:r>
        <w:rPr>
          <w:rFonts w:ascii="黑体" w:eastAsia="黑体" w:hAnsi="黑体" w:cs="黑体" w:hint="eastAsia"/>
        </w:rPr>
        <w:t>8.</w:t>
      </w:r>
      <w:r>
        <w:rPr>
          <w:rFonts w:ascii="黑体" w:eastAsia="黑体" w:hAnsi="黑体" w:cs="黑体" w:hint="eastAsia"/>
        </w:rPr>
        <w:t>质量保证</w:t>
      </w:r>
    </w:p>
    <w:p w:rsidR="007F0AAE" w:rsidRDefault="00893899">
      <w:pPr>
        <w:pStyle w:val="a4"/>
        <w:spacing w:after="0" w:line="540" w:lineRule="exact"/>
        <w:ind w:firstLineChars="200" w:firstLine="640"/>
        <w:rPr>
          <w:rFonts w:ascii="仿宋_GB2312" w:eastAsia="仿宋_GB2312" w:hAnsi="仿宋_GB2312" w:cs="仿宋_GB2312"/>
          <w:spacing w:val="2"/>
        </w:rPr>
      </w:pPr>
      <w:r>
        <w:rPr>
          <w:rFonts w:ascii="仿宋_GB2312" w:eastAsia="仿宋_GB2312" w:hAnsi="仿宋_GB2312" w:cs="仿宋_GB2312" w:hint="eastAsia"/>
        </w:rPr>
        <w:t>环境辐射监测的质量保证按照《环境核辐射监测规定》（</w:t>
      </w:r>
      <w:r>
        <w:rPr>
          <w:rFonts w:ascii="仿宋_GB2312" w:eastAsia="仿宋_GB2312" w:hAnsi="仿宋_GB2312" w:cs="仿宋_GB2312" w:hint="eastAsia"/>
        </w:rPr>
        <w:t>GB12379</w:t>
      </w:r>
      <w:r>
        <w:rPr>
          <w:rFonts w:ascii="仿宋_GB2312" w:eastAsia="仿宋_GB2312" w:hAnsi="仿宋_GB2312" w:cs="仿宋_GB2312" w:hint="eastAsia"/>
        </w:rPr>
        <w:t>）、《辐射环境监测技术规范》（</w:t>
      </w:r>
      <w:r>
        <w:rPr>
          <w:rFonts w:ascii="仿宋_GB2312" w:eastAsia="仿宋_GB2312" w:hAnsi="仿宋_GB2312" w:cs="仿宋_GB2312" w:hint="eastAsia"/>
        </w:rPr>
        <w:t>HJ61</w:t>
      </w:r>
      <w:r>
        <w:rPr>
          <w:rFonts w:ascii="仿宋_GB2312" w:eastAsia="仿宋_GB2312" w:hAnsi="仿宋_GB2312" w:cs="仿宋_GB2312" w:hint="eastAsia"/>
        </w:rPr>
        <w:t>）和《固定污染源监测质量保证与质量控制技术规范（试行）》（</w:t>
      </w:r>
      <w:r>
        <w:rPr>
          <w:rFonts w:ascii="仿宋_GB2312" w:eastAsia="仿宋_GB2312" w:hAnsi="仿宋_GB2312" w:cs="仿宋_GB2312" w:hint="eastAsia"/>
        </w:rPr>
        <w:t>HJ/T373</w:t>
      </w:r>
      <w:r>
        <w:rPr>
          <w:rFonts w:ascii="仿宋_GB2312" w:eastAsia="仿宋_GB2312" w:hAnsi="仿宋_GB2312" w:cs="仿宋_GB2312" w:hint="eastAsia"/>
        </w:rPr>
        <w:t>）中相关要求进行。</w:t>
      </w:r>
    </w:p>
    <w:p w:rsidR="007F0AAE" w:rsidRDefault="00893899" w:rsidP="00A32059">
      <w:pPr>
        <w:pStyle w:val="a4"/>
        <w:spacing w:beforeLines="50" w:afterLines="50" w:line="560" w:lineRule="exact"/>
        <w:jc w:val="center"/>
        <w:rPr>
          <w:rFonts w:ascii="黑体" w:eastAsia="黑体" w:hAnsi="黑体" w:cs="黑体"/>
          <w:sz w:val="28"/>
          <w:szCs w:val="28"/>
        </w:rPr>
      </w:pPr>
      <w:r>
        <w:rPr>
          <w:rFonts w:ascii="仿宋_GB2312" w:eastAsia="仿宋_GB2312" w:hAnsi="仿宋_GB2312" w:cs="仿宋_GB2312" w:hint="eastAsia"/>
          <w:spacing w:val="2"/>
        </w:rPr>
        <w:br w:type="page"/>
      </w:r>
      <w:r>
        <w:rPr>
          <w:rFonts w:ascii="黑体" w:eastAsia="黑体" w:hAnsi="黑体" w:cs="黑体" w:hint="eastAsia"/>
          <w:spacing w:val="-2"/>
          <w:sz w:val="28"/>
          <w:szCs w:val="28"/>
        </w:rPr>
        <w:lastRenderedPageBreak/>
        <w:t>表</w:t>
      </w:r>
      <w:r>
        <w:rPr>
          <w:rFonts w:ascii="黑体" w:eastAsia="黑体" w:hAnsi="黑体" w:cs="黑体" w:hint="eastAsia"/>
          <w:spacing w:val="-2"/>
          <w:sz w:val="28"/>
          <w:szCs w:val="28"/>
        </w:rPr>
        <w:t>3</w:t>
      </w:r>
      <w:r>
        <w:rPr>
          <w:rFonts w:ascii="黑体" w:eastAsia="黑体" w:hAnsi="黑体" w:cs="黑体" w:hint="eastAsia"/>
          <w:spacing w:val="-2"/>
          <w:sz w:val="28"/>
          <w:szCs w:val="28"/>
        </w:rPr>
        <w:t>环境辐射监测分析方法</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41"/>
        <w:gridCol w:w="1196"/>
        <w:gridCol w:w="1409"/>
        <w:gridCol w:w="3502"/>
        <w:gridCol w:w="1514"/>
      </w:tblGrid>
      <w:tr w:rsidR="007F0AAE">
        <w:trPr>
          <w:trHeight w:val="452"/>
          <w:jc w:val="center"/>
        </w:trPr>
        <w:tc>
          <w:tcPr>
            <w:tcW w:w="1341" w:type="dxa"/>
            <w:tcBorders>
              <w:top w:val="single" w:sz="6" w:space="0" w:color="000000"/>
              <w:left w:val="single" w:sz="6" w:space="0" w:color="000000"/>
            </w:tcBorders>
            <w:noWrap/>
            <w:vAlign w:val="center"/>
          </w:tcPr>
          <w:p w:rsidR="007F0AAE" w:rsidRDefault="00893899">
            <w:pPr>
              <w:spacing w:line="320" w:lineRule="exact"/>
              <w:jc w:val="center"/>
              <w:rPr>
                <w:rFonts w:ascii="黑体" w:eastAsia="黑体" w:hAnsi="黑体" w:cs="黑体"/>
                <w:w w:val="95"/>
                <w:sz w:val="24"/>
                <w:szCs w:val="24"/>
              </w:rPr>
            </w:pPr>
            <w:r>
              <w:rPr>
                <w:rFonts w:ascii="黑体" w:eastAsia="黑体" w:hAnsi="黑体" w:cs="黑体"/>
                <w:w w:val="95"/>
                <w:sz w:val="24"/>
                <w:szCs w:val="24"/>
              </w:rPr>
              <w:t>监测项目</w:t>
            </w:r>
          </w:p>
        </w:tc>
        <w:tc>
          <w:tcPr>
            <w:tcW w:w="1196" w:type="dxa"/>
            <w:tcBorders>
              <w:top w:val="single" w:sz="6" w:space="0" w:color="000000"/>
            </w:tcBorders>
            <w:noWrap/>
            <w:vAlign w:val="center"/>
          </w:tcPr>
          <w:p w:rsidR="007F0AAE" w:rsidRDefault="00893899">
            <w:pPr>
              <w:spacing w:line="320" w:lineRule="exact"/>
              <w:jc w:val="center"/>
              <w:rPr>
                <w:rFonts w:ascii="黑体" w:eastAsia="黑体" w:hAnsi="黑体" w:cs="黑体"/>
                <w:w w:val="95"/>
                <w:sz w:val="24"/>
                <w:szCs w:val="24"/>
              </w:rPr>
            </w:pPr>
            <w:r>
              <w:rPr>
                <w:rFonts w:ascii="黑体" w:eastAsia="黑体" w:hAnsi="黑体" w:cs="黑体"/>
                <w:w w:val="95"/>
                <w:sz w:val="24"/>
                <w:szCs w:val="24"/>
              </w:rPr>
              <w:t>监测介质</w:t>
            </w:r>
          </w:p>
        </w:tc>
        <w:tc>
          <w:tcPr>
            <w:tcW w:w="1409" w:type="dxa"/>
            <w:tcBorders>
              <w:top w:val="single" w:sz="6" w:space="0" w:color="000000"/>
            </w:tcBorders>
            <w:noWrap/>
            <w:vAlign w:val="center"/>
          </w:tcPr>
          <w:p w:rsidR="007F0AAE" w:rsidRDefault="00893899">
            <w:pPr>
              <w:spacing w:line="320" w:lineRule="exact"/>
              <w:jc w:val="center"/>
              <w:rPr>
                <w:rFonts w:ascii="黑体" w:eastAsia="黑体" w:hAnsi="黑体" w:cs="黑体"/>
                <w:w w:val="95"/>
                <w:sz w:val="24"/>
                <w:szCs w:val="24"/>
              </w:rPr>
            </w:pPr>
            <w:r>
              <w:rPr>
                <w:rFonts w:ascii="黑体" w:eastAsia="黑体" w:hAnsi="黑体" w:cs="黑体"/>
                <w:w w:val="95"/>
                <w:sz w:val="24"/>
                <w:szCs w:val="24"/>
              </w:rPr>
              <w:t>标准编号</w:t>
            </w:r>
          </w:p>
        </w:tc>
        <w:tc>
          <w:tcPr>
            <w:tcW w:w="3502" w:type="dxa"/>
            <w:tcBorders>
              <w:top w:val="single" w:sz="6" w:space="0" w:color="000000"/>
            </w:tcBorders>
            <w:noWrap/>
            <w:vAlign w:val="center"/>
          </w:tcPr>
          <w:p w:rsidR="007F0AAE" w:rsidRDefault="00893899">
            <w:pPr>
              <w:spacing w:line="320" w:lineRule="exact"/>
              <w:jc w:val="center"/>
              <w:rPr>
                <w:rFonts w:ascii="黑体" w:eastAsia="黑体" w:hAnsi="黑体" w:cs="黑体"/>
                <w:w w:val="95"/>
                <w:sz w:val="24"/>
                <w:szCs w:val="24"/>
              </w:rPr>
            </w:pPr>
            <w:r>
              <w:rPr>
                <w:rFonts w:ascii="黑体" w:eastAsia="黑体" w:hAnsi="黑体" w:cs="黑体"/>
                <w:w w:val="95"/>
                <w:sz w:val="24"/>
                <w:szCs w:val="24"/>
              </w:rPr>
              <w:t>标准名称</w:t>
            </w:r>
          </w:p>
        </w:tc>
        <w:tc>
          <w:tcPr>
            <w:tcW w:w="1514" w:type="dxa"/>
            <w:tcBorders>
              <w:top w:val="single" w:sz="6" w:space="0" w:color="000000"/>
              <w:right w:val="single" w:sz="6" w:space="0" w:color="000000"/>
            </w:tcBorders>
            <w:noWrap/>
            <w:vAlign w:val="center"/>
          </w:tcPr>
          <w:p w:rsidR="007F0AAE" w:rsidRDefault="00893899">
            <w:pPr>
              <w:spacing w:line="320" w:lineRule="exact"/>
              <w:jc w:val="center"/>
              <w:rPr>
                <w:rFonts w:ascii="黑体" w:eastAsia="黑体" w:hAnsi="黑体" w:cs="黑体"/>
                <w:w w:val="95"/>
                <w:sz w:val="24"/>
                <w:szCs w:val="24"/>
              </w:rPr>
            </w:pPr>
            <w:r>
              <w:rPr>
                <w:rFonts w:ascii="黑体" w:eastAsia="黑体" w:hAnsi="黑体" w:cs="黑体"/>
                <w:w w:val="95"/>
                <w:sz w:val="24"/>
                <w:szCs w:val="24"/>
              </w:rPr>
              <w:t>备注</w:t>
            </w:r>
          </w:p>
        </w:tc>
      </w:tr>
      <w:tr w:rsidR="007F0AAE">
        <w:trPr>
          <w:trHeight w:val="793"/>
          <w:jc w:val="center"/>
        </w:trPr>
        <w:tc>
          <w:tcPr>
            <w:tcW w:w="1341" w:type="dxa"/>
            <w:tcBorders>
              <w:lef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γ</w:t>
            </w:r>
            <w:r>
              <w:rPr>
                <w:w w:val="95"/>
                <w:sz w:val="24"/>
                <w:szCs w:val="24"/>
              </w:rPr>
              <w:t>辐射空气吸收剂量率</w:t>
            </w:r>
          </w:p>
        </w:tc>
        <w:tc>
          <w:tcPr>
            <w:tcW w:w="1196" w:type="dxa"/>
            <w:noWrap/>
            <w:vAlign w:val="center"/>
          </w:tcPr>
          <w:p w:rsidR="007F0AAE" w:rsidRDefault="00893899">
            <w:pPr>
              <w:pStyle w:val="TableText"/>
              <w:spacing w:line="320" w:lineRule="exact"/>
              <w:jc w:val="center"/>
              <w:rPr>
                <w:w w:val="95"/>
                <w:sz w:val="24"/>
                <w:szCs w:val="24"/>
              </w:rPr>
            </w:pPr>
            <w:r>
              <w:rPr>
                <w:w w:val="95"/>
                <w:sz w:val="24"/>
                <w:szCs w:val="24"/>
              </w:rPr>
              <w:t>空气</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/T14583</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环境地表</w:t>
            </w:r>
            <w:r>
              <w:rPr>
                <w:w w:val="95"/>
                <w:sz w:val="24"/>
                <w:szCs w:val="24"/>
              </w:rPr>
              <w:t>γ</w:t>
            </w:r>
            <w:r>
              <w:rPr>
                <w:w w:val="95"/>
                <w:sz w:val="24"/>
                <w:szCs w:val="24"/>
              </w:rPr>
              <w:t>辐射剂量率测定规范</w:t>
            </w:r>
          </w:p>
        </w:tc>
        <w:tc>
          <w:tcPr>
            <w:tcW w:w="1514" w:type="dxa"/>
            <w:tcBorders>
              <w:right w:val="single" w:sz="6" w:space="0" w:color="000000"/>
            </w:tcBorders>
            <w:noWrap/>
            <w:vAlign w:val="center"/>
          </w:tcPr>
          <w:p w:rsidR="007F0AAE" w:rsidRDefault="007F0AAE">
            <w:pPr>
              <w:spacing w:line="320" w:lineRule="exact"/>
              <w:jc w:val="center"/>
              <w:rPr>
                <w:rFonts w:ascii="Arial"/>
                <w:w w:val="95"/>
                <w:sz w:val="24"/>
                <w:szCs w:val="24"/>
              </w:rPr>
            </w:pPr>
          </w:p>
        </w:tc>
      </w:tr>
      <w:tr w:rsidR="007F0AAE">
        <w:trPr>
          <w:trHeight w:val="633"/>
          <w:jc w:val="center"/>
        </w:trPr>
        <w:tc>
          <w:tcPr>
            <w:tcW w:w="1341" w:type="dxa"/>
            <w:tcBorders>
              <w:lef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氡及其子体</w:t>
            </w:r>
          </w:p>
        </w:tc>
        <w:tc>
          <w:tcPr>
            <w:tcW w:w="1196" w:type="dxa"/>
            <w:noWrap/>
            <w:vAlign w:val="center"/>
          </w:tcPr>
          <w:p w:rsidR="007F0AAE" w:rsidRDefault="00893899">
            <w:pPr>
              <w:pStyle w:val="TableText"/>
              <w:spacing w:line="320" w:lineRule="exact"/>
              <w:jc w:val="center"/>
              <w:rPr>
                <w:w w:val="95"/>
                <w:sz w:val="24"/>
                <w:szCs w:val="24"/>
              </w:rPr>
            </w:pPr>
            <w:r>
              <w:rPr>
                <w:w w:val="95"/>
                <w:sz w:val="24"/>
                <w:szCs w:val="24"/>
              </w:rPr>
              <w:t>空气</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/T14582</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环境空气中氡的标准测量方法</w:t>
            </w:r>
          </w:p>
        </w:tc>
        <w:tc>
          <w:tcPr>
            <w:tcW w:w="1514" w:type="dxa"/>
            <w:tcBorders>
              <w:right w:val="single" w:sz="6" w:space="0" w:color="000000"/>
            </w:tcBorders>
            <w:noWrap/>
            <w:vAlign w:val="center"/>
          </w:tcPr>
          <w:p w:rsidR="007F0AAE" w:rsidRDefault="007F0AAE">
            <w:pPr>
              <w:spacing w:line="320" w:lineRule="exact"/>
              <w:jc w:val="center"/>
              <w:rPr>
                <w:rFonts w:ascii="Arial"/>
                <w:w w:val="95"/>
                <w:sz w:val="24"/>
                <w:szCs w:val="24"/>
              </w:rPr>
            </w:pPr>
          </w:p>
        </w:tc>
      </w:tr>
      <w:tr w:rsidR="007F0AAE">
        <w:trPr>
          <w:trHeight w:val="446"/>
          <w:jc w:val="center"/>
        </w:trPr>
        <w:tc>
          <w:tcPr>
            <w:tcW w:w="1341" w:type="dxa"/>
            <w:vMerge w:val="restart"/>
            <w:tcBorders>
              <w:left w:val="single" w:sz="6" w:space="0" w:color="000000"/>
              <w:bottom w:val="nil"/>
            </w:tcBorders>
            <w:noWrap/>
            <w:vAlign w:val="center"/>
          </w:tcPr>
          <w:p w:rsidR="007F0AAE" w:rsidRDefault="00893899">
            <w:pPr>
              <w:pStyle w:val="TableText"/>
              <w:spacing w:line="320" w:lineRule="exact"/>
              <w:jc w:val="center"/>
              <w:rPr>
                <w:w w:val="95"/>
                <w:sz w:val="24"/>
                <w:szCs w:val="24"/>
              </w:rPr>
            </w:pPr>
            <w:r>
              <w:rPr>
                <w:w w:val="95"/>
                <w:sz w:val="24"/>
                <w:szCs w:val="24"/>
              </w:rPr>
              <w:t>铀</w:t>
            </w:r>
          </w:p>
        </w:tc>
        <w:tc>
          <w:tcPr>
            <w:tcW w:w="1196" w:type="dxa"/>
            <w:vMerge w:val="restart"/>
            <w:tcBorders>
              <w:bottom w:val="nil"/>
            </w:tcBorders>
            <w:noWrap/>
            <w:vAlign w:val="center"/>
          </w:tcPr>
          <w:p w:rsidR="007F0AAE" w:rsidRDefault="00893899">
            <w:pPr>
              <w:pStyle w:val="TableText"/>
              <w:spacing w:line="320" w:lineRule="exact"/>
              <w:jc w:val="center"/>
              <w:rPr>
                <w:w w:val="95"/>
                <w:sz w:val="24"/>
                <w:szCs w:val="24"/>
              </w:rPr>
            </w:pPr>
            <w:r>
              <w:rPr>
                <w:w w:val="95"/>
                <w:sz w:val="24"/>
                <w:szCs w:val="24"/>
              </w:rPr>
              <w:t>空气、水样、土壤、底泥</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HJ</w:t>
            </w:r>
            <w:r>
              <w:rPr>
                <w:w w:val="95"/>
                <w:sz w:val="24"/>
                <w:szCs w:val="24"/>
              </w:rPr>
              <w:t>840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环境样品中微量铀的分析方法</w:t>
            </w:r>
          </w:p>
        </w:tc>
        <w:tc>
          <w:tcPr>
            <w:tcW w:w="1514" w:type="dxa"/>
            <w:tcBorders>
              <w:right w:val="single" w:sz="6" w:space="0" w:color="000000"/>
            </w:tcBorders>
            <w:noWrap/>
            <w:vAlign w:val="center"/>
          </w:tcPr>
          <w:p w:rsidR="007F0AAE" w:rsidRDefault="007F0AAE">
            <w:pPr>
              <w:spacing w:line="320" w:lineRule="exact"/>
              <w:jc w:val="center"/>
              <w:rPr>
                <w:rFonts w:ascii="Arial"/>
                <w:w w:val="95"/>
                <w:sz w:val="24"/>
                <w:szCs w:val="24"/>
              </w:rPr>
            </w:pPr>
          </w:p>
        </w:tc>
      </w:tr>
      <w:tr w:rsidR="007F0AAE">
        <w:trPr>
          <w:trHeight w:val="718"/>
          <w:jc w:val="center"/>
        </w:trPr>
        <w:tc>
          <w:tcPr>
            <w:tcW w:w="1341" w:type="dxa"/>
            <w:vMerge/>
            <w:tcBorders>
              <w:top w:val="nil"/>
              <w:left w:val="single" w:sz="6" w:space="0" w:color="000000"/>
              <w:bottom w:val="nil"/>
            </w:tcBorders>
            <w:noWrap/>
            <w:vAlign w:val="center"/>
          </w:tcPr>
          <w:p w:rsidR="007F0AAE" w:rsidRDefault="007F0AAE">
            <w:pPr>
              <w:spacing w:line="320" w:lineRule="exact"/>
              <w:jc w:val="center"/>
              <w:rPr>
                <w:rFonts w:ascii="Arial"/>
                <w:w w:val="95"/>
                <w:sz w:val="24"/>
                <w:szCs w:val="24"/>
              </w:rPr>
            </w:pPr>
          </w:p>
        </w:tc>
        <w:tc>
          <w:tcPr>
            <w:tcW w:w="1196" w:type="dxa"/>
            <w:vMerge/>
            <w:tcBorders>
              <w:top w:val="nil"/>
              <w:bottom w:val="nil"/>
            </w:tcBorders>
            <w:noWrap/>
            <w:vAlign w:val="center"/>
          </w:tcPr>
          <w:p w:rsidR="007F0AAE" w:rsidRDefault="007F0AAE">
            <w:pPr>
              <w:spacing w:line="320" w:lineRule="exact"/>
              <w:jc w:val="center"/>
              <w:rPr>
                <w:rFonts w:ascii="Arial"/>
                <w:w w:val="95"/>
                <w:sz w:val="24"/>
                <w:szCs w:val="24"/>
              </w:rPr>
            </w:pP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/T14506.30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硅酸盐岩石化学分析方法第</w:t>
            </w:r>
            <w:r>
              <w:rPr>
                <w:w w:val="95"/>
                <w:sz w:val="24"/>
                <w:szCs w:val="24"/>
              </w:rPr>
              <w:t>30</w:t>
            </w:r>
            <w:r>
              <w:rPr>
                <w:w w:val="95"/>
                <w:sz w:val="24"/>
                <w:szCs w:val="24"/>
              </w:rPr>
              <w:t>部分：</w:t>
            </w:r>
            <w:r>
              <w:rPr>
                <w:w w:val="95"/>
                <w:sz w:val="24"/>
                <w:szCs w:val="24"/>
              </w:rPr>
              <w:t>44</w:t>
            </w:r>
            <w:r>
              <w:rPr>
                <w:w w:val="95"/>
                <w:sz w:val="24"/>
                <w:szCs w:val="24"/>
              </w:rPr>
              <w:t>个元素量测定</w:t>
            </w:r>
          </w:p>
        </w:tc>
        <w:tc>
          <w:tcPr>
            <w:tcW w:w="1514" w:type="dxa"/>
            <w:tcBorders>
              <w:righ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适合土壤和底泥铀的测定</w:t>
            </w:r>
          </w:p>
        </w:tc>
      </w:tr>
      <w:tr w:rsidR="007F0AAE">
        <w:trPr>
          <w:trHeight w:val="717"/>
          <w:jc w:val="center"/>
        </w:trPr>
        <w:tc>
          <w:tcPr>
            <w:tcW w:w="1341" w:type="dxa"/>
            <w:vMerge/>
            <w:tcBorders>
              <w:top w:val="nil"/>
              <w:left w:val="single" w:sz="6" w:space="0" w:color="000000"/>
            </w:tcBorders>
            <w:noWrap/>
            <w:vAlign w:val="center"/>
          </w:tcPr>
          <w:p w:rsidR="007F0AAE" w:rsidRDefault="007F0AAE">
            <w:pPr>
              <w:spacing w:line="320" w:lineRule="exact"/>
              <w:jc w:val="center"/>
              <w:rPr>
                <w:rFonts w:ascii="Arial"/>
                <w:w w:val="95"/>
                <w:sz w:val="24"/>
                <w:szCs w:val="24"/>
              </w:rPr>
            </w:pPr>
          </w:p>
        </w:tc>
        <w:tc>
          <w:tcPr>
            <w:tcW w:w="1196" w:type="dxa"/>
            <w:vMerge/>
            <w:tcBorders>
              <w:top w:val="nil"/>
            </w:tcBorders>
            <w:noWrap/>
            <w:vAlign w:val="center"/>
          </w:tcPr>
          <w:p w:rsidR="007F0AAE" w:rsidRDefault="007F0AAE">
            <w:pPr>
              <w:spacing w:line="320" w:lineRule="exact"/>
              <w:jc w:val="center"/>
              <w:rPr>
                <w:rFonts w:ascii="Arial"/>
                <w:w w:val="95"/>
                <w:sz w:val="24"/>
                <w:szCs w:val="24"/>
              </w:rPr>
            </w:pP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HJ</w:t>
            </w:r>
            <w:r>
              <w:rPr>
                <w:w w:val="95"/>
                <w:sz w:val="24"/>
                <w:szCs w:val="24"/>
              </w:rPr>
              <w:t>700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水质</w:t>
            </w:r>
            <w:r>
              <w:rPr>
                <w:w w:val="95"/>
                <w:sz w:val="24"/>
                <w:szCs w:val="24"/>
              </w:rPr>
              <w:t>65</w:t>
            </w:r>
            <w:r>
              <w:rPr>
                <w:w w:val="95"/>
                <w:sz w:val="24"/>
                <w:szCs w:val="24"/>
              </w:rPr>
              <w:t>种元素的测定</w:t>
            </w:r>
            <w:r>
              <w:rPr>
                <w:w w:val="95"/>
                <w:sz w:val="24"/>
                <w:szCs w:val="24"/>
              </w:rPr>
              <w:t xml:space="preserve"> </w:t>
            </w:r>
            <w:r>
              <w:rPr>
                <w:w w:val="95"/>
                <w:sz w:val="24"/>
                <w:szCs w:val="24"/>
              </w:rPr>
              <w:t>电感耦合等</w:t>
            </w:r>
          </w:p>
          <w:p w:rsidR="007F0AAE" w:rsidRDefault="00893899">
            <w:pPr>
              <w:pStyle w:val="TableText"/>
              <w:spacing w:line="320" w:lineRule="exact"/>
              <w:jc w:val="center"/>
              <w:rPr>
                <w:w w:val="95"/>
                <w:sz w:val="24"/>
                <w:szCs w:val="24"/>
              </w:rPr>
            </w:pPr>
            <w:r>
              <w:rPr>
                <w:w w:val="95"/>
                <w:sz w:val="24"/>
                <w:szCs w:val="24"/>
              </w:rPr>
              <w:t>离子体质谱法</w:t>
            </w:r>
          </w:p>
        </w:tc>
        <w:tc>
          <w:tcPr>
            <w:tcW w:w="1514" w:type="dxa"/>
            <w:tcBorders>
              <w:righ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适合水中铀的测定</w:t>
            </w:r>
          </w:p>
        </w:tc>
      </w:tr>
      <w:tr w:rsidR="007F0AAE">
        <w:trPr>
          <w:trHeight w:val="447"/>
          <w:jc w:val="center"/>
        </w:trPr>
        <w:tc>
          <w:tcPr>
            <w:tcW w:w="1341" w:type="dxa"/>
            <w:vMerge w:val="restart"/>
            <w:tcBorders>
              <w:left w:val="single" w:sz="6" w:space="0" w:color="000000"/>
              <w:bottom w:val="nil"/>
            </w:tcBorders>
            <w:noWrap/>
            <w:vAlign w:val="center"/>
          </w:tcPr>
          <w:p w:rsidR="007F0AAE" w:rsidRDefault="00893899">
            <w:pPr>
              <w:pStyle w:val="TableText"/>
              <w:spacing w:line="320" w:lineRule="exact"/>
              <w:jc w:val="center"/>
              <w:rPr>
                <w:w w:val="95"/>
                <w:sz w:val="24"/>
                <w:szCs w:val="24"/>
              </w:rPr>
            </w:pPr>
            <w:r>
              <w:rPr>
                <w:w w:val="95"/>
                <w:sz w:val="24"/>
                <w:szCs w:val="24"/>
              </w:rPr>
              <w:t>钍</w:t>
            </w:r>
          </w:p>
        </w:tc>
        <w:tc>
          <w:tcPr>
            <w:tcW w:w="1196" w:type="dxa"/>
            <w:vMerge w:val="restart"/>
            <w:tcBorders>
              <w:bottom w:val="nil"/>
            </w:tcBorders>
            <w:noWrap/>
            <w:vAlign w:val="center"/>
          </w:tcPr>
          <w:p w:rsidR="007F0AAE" w:rsidRDefault="00893899">
            <w:pPr>
              <w:pStyle w:val="TableText"/>
              <w:spacing w:line="320" w:lineRule="exact"/>
              <w:jc w:val="center"/>
              <w:rPr>
                <w:w w:val="95"/>
                <w:sz w:val="24"/>
                <w:szCs w:val="24"/>
              </w:rPr>
            </w:pPr>
            <w:r>
              <w:rPr>
                <w:w w:val="95"/>
                <w:sz w:val="24"/>
                <w:szCs w:val="24"/>
              </w:rPr>
              <w:t>水样</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11224</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水中钍的分析方法</w:t>
            </w:r>
          </w:p>
        </w:tc>
        <w:tc>
          <w:tcPr>
            <w:tcW w:w="1514" w:type="dxa"/>
            <w:tcBorders>
              <w:right w:val="single" w:sz="6" w:space="0" w:color="000000"/>
            </w:tcBorders>
            <w:noWrap/>
            <w:vAlign w:val="center"/>
          </w:tcPr>
          <w:p w:rsidR="007F0AAE" w:rsidRDefault="007F0AAE">
            <w:pPr>
              <w:spacing w:line="320" w:lineRule="exact"/>
              <w:jc w:val="center"/>
              <w:rPr>
                <w:rFonts w:ascii="Arial"/>
                <w:w w:val="95"/>
                <w:sz w:val="24"/>
                <w:szCs w:val="24"/>
              </w:rPr>
            </w:pPr>
          </w:p>
        </w:tc>
      </w:tr>
      <w:tr w:rsidR="007F0AAE">
        <w:trPr>
          <w:trHeight w:val="717"/>
          <w:jc w:val="center"/>
        </w:trPr>
        <w:tc>
          <w:tcPr>
            <w:tcW w:w="1341" w:type="dxa"/>
            <w:vMerge/>
            <w:tcBorders>
              <w:top w:val="nil"/>
              <w:left w:val="single" w:sz="6" w:space="0" w:color="000000"/>
              <w:bottom w:val="nil"/>
            </w:tcBorders>
            <w:noWrap/>
            <w:vAlign w:val="center"/>
          </w:tcPr>
          <w:p w:rsidR="007F0AAE" w:rsidRDefault="007F0AAE">
            <w:pPr>
              <w:spacing w:line="320" w:lineRule="exact"/>
              <w:jc w:val="center"/>
              <w:rPr>
                <w:rFonts w:ascii="Arial"/>
                <w:w w:val="95"/>
                <w:sz w:val="24"/>
                <w:szCs w:val="24"/>
              </w:rPr>
            </w:pPr>
          </w:p>
        </w:tc>
        <w:tc>
          <w:tcPr>
            <w:tcW w:w="1196" w:type="dxa"/>
            <w:vMerge/>
            <w:tcBorders>
              <w:top w:val="nil"/>
            </w:tcBorders>
            <w:noWrap/>
            <w:vAlign w:val="center"/>
          </w:tcPr>
          <w:p w:rsidR="007F0AAE" w:rsidRDefault="007F0AAE">
            <w:pPr>
              <w:spacing w:line="320" w:lineRule="exact"/>
              <w:jc w:val="center"/>
              <w:rPr>
                <w:rFonts w:ascii="Arial"/>
                <w:w w:val="95"/>
                <w:sz w:val="24"/>
                <w:szCs w:val="24"/>
              </w:rPr>
            </w:pP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HJ</w:t>
            </w:r>
            <w:r>
              <w:rPr>
                <w:w w:val="95"/>
                <w:sz w:val="24"/>
                <w:szCs w:val="24"/>
              </w:rPr>
              <w:t>700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水质</w:t>
            </w:r>
            <w:r>
              <w:rPr>
                <w:w w:val="95"/>
                <w:sz w:val="24"/>
                <w:szCs w:val="24"/>
              </w:rPr>
              <w:t>65</w:t>
            </w:r>
            <w:r>
              <w:rPr>
                <w:w w:val="95"/>
                <w:sz w:val="24"/>
                <w:szCs w:val="24"/>
              </w:rPr>
              <w:t>种元素的测定</w:t>
            </w:r>
            <w:r>
              <w:rPr>
                <w:w w:val="95"/>
                <w:sz w:val="24"/>
                <w:szCs w:val="24"/>
              </w:rPr>
              <w:t xml:space="preserve"> </w:t>
            </w:r>
            <w:r>
              <w:rPr>
                <w:w w:val="95"/>
                <w:sz w:val="24"/>
                <w:szCs w:val="24"/>
              </w:rPr>
              <w:t>电感耦合等离子体质谱法</w:t>
            </w:r>
          </w:p>
        </w:tc>
        <w:tc>
          <w:tcPr>
            <w:tcW w:w="1514" w:type="dxa"/>
            <w:tcBorders>
              <w:right w:val="single" w:sz="6" w:space="0" w:color="000000"/>
            </w:tcBorders>
            <w:noWrap/>
            <w:vAlign w:val="center"/>
          </w:tcPr>
          <w:p w:rsidR="007F0AAE" w:rsidRDefault="007F0AAE">
            <w:pPr>
              <w:spacing w:line="320" w:lineRule="exact"/>
              <w:jc w:val="center"/>
              <w:rPr>
                <w:rFonts w:ascii="Arial"/>
                <w:w w:val="95"/>
                <w:sz w:val="24"/>
                <w:szCs w:val="24"/>
              </w:rPr>
            </w:pPr>
          </w:p>
        </w:tc>
      </w:tr>
      <w:tr w:rsidR="007F0AAE">
        <w:trPr>
          <w:trHeight w:val="556"/>
          <w:jc w:val="center"/>
        </w:trPr>
        <w:tc>
          <w:tcPr>
            <w:tcW w:w="1341" w:type="dxa"/>
            <w:vMerge/>
            <w:tcBorders>
              <w:top w:val="nil"/>
              <w:left w:val="single" w:sz="6" w:space="0" w:color="000000"/>
              <w:bottom w:val="nil"/>
            </w:tcBorders>
            <w:noWrap/>
            <w:vAlign w:val="center"/>
          </w:tcPr>
          <w:p w:rsidR="007F0AAE" w:rsidRDefault="007F0AAE">
            <w:pPr>
              <w:spacing w:line="320" w:lineRule="exact"/>
              <w:jc w:val="center"/>
              <w:rPr>
                <w:rFonts w:ascii="Arial"/>
                <w:w w:val="95"/>
                <w:sz w:val="24"/>
                <w:szCs w:val="24"/>
              </w:rPr>
            </w:pPr>
          </w:p>
        </w:tc>
        <w:tc>
          <w:tcPr>
            <w:tcW w:w="1196" w:type="dxa"/>
            <w:vMerge w:val="restart"/>
            <w:tcBorders>
              <w:bottom w:val="nil"/>
            </w:tcBorders>
            <w:noWrap/>
            <w:vAlign w:val="center"/>
          </w:tcPr>
          <w:p w:rsidR="007F0AAE" w:rsidRDefault="00893899">
            <w:pPr>
              <w:pStyle w:val="TableText"/>
              <w:spacing w:line="320" w:lineRule="exact"/>
              <w:jc w:val="center"/>
              <w:rPr>
                <w:w w:val="95"/>
                <w:sz w:val="24"/>
                <w:szCs w:val="24"/>
              </w:rPr>
            </w:pPr>
            <w:r>
              <w:rPr>
                <w:w w:val="95"/>
                <w:sz w:val="24"/>
                <w:szCs w:val="24"/>
              </w:rPr>
              <w:t>空气、土壤、底泥</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HJ</w:t>
            </w:r>
            <w:r>
              <w:rPr>
                <w:w w:val="95"/>
                <w:sz w:val="24"/>
                <w:szCs w:val="24"/>
              </w:rPr>
              <w:t>840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环境样品中微量铀的分析方法</w:t>
            </w:r>
          </w:p>
        </w:tc>
        <w:tc>
          <w:tcPr>
            <w:tcW w:w="1514" w:type="dxa"/>
            <w:tcBorders>
              <w:right w:val="single" w:sz="6" w:space="0" w:color="000000"/>
            </w:tcBorders>
            <w:noWrap/>
            <w:vAlign w:val="center"/>
          </w:tcPr>
          <w:p w:rsidR="007F0AAE" w:rsidRDefault="007F0AAE">
            <w:pPr>
              <w:pStyle w:val="TableText"/>
              <w:spacing w:line="320" w:lineRule="exact"/>
              <w:jc w:val="center"/>
              <w:rPr>
                <w:w w:val="95"/>
                <w:sz w:val="24"/>
                <w:szCs w:val="24"/>
              </w:rPr>
            </w:pPr>
          </w:p>
        </w:tc>
      </w:tr>
      <w:tr w:rsidR="007F0AAE">
        <w:trPr>
          <w:trHeight w:val="730"/>
          <w:jc w:val="center"/>
        </w:trPr>
        <w:tc>
          <w:tcPr>
            <w:tcW w:w="1341" w:type="dxa"/>
            <w:vMerge/>
            <w:tcBorders>
              <w:top w:val="nil"/>
              <w:left w:val="single" w:sz="6" w:space="0" w:color="000000"/>
              <w:bottom w:val="single" w:sz="6" w:space="0" w:color="000000"/>
            </w:tcBorders>
            <w:noWrap/>
            <w:vAlign w:val="center"/>
          </w:tcPr>
          <w:p w:rsidR="007F0AAE" w:rsidRDefault="007F0AAE">
            <w:pPr>
              <w:spacing w:line="320" w:lineRule="exact"/>
              <w:jc w:val="center"/>
              <w:rPr>
                <w:rFonts w:ascii="Arial"/>
                <w:w w:val="95"/>
                <w:sz w:val="24"/>
                <w:szCs w:val="24"/>
              </w:rPr>
            </w:pPr>
          </w:p>
        </w:tc>
        <w:tc>
          <w:tcPr>
            <w:tcW w:w="1196" w:type="dxa"/>
            <w:vMerge/>
            <w:tcBorders>
              <w:top w:val="nil"/>
              <w:bottom w:val="single" w:sz="6" w:space="0" w:color="000000"/>
            </w:tcBorders>
            <w:noWrap/>
            <w:vAlign w:val="center"/>
          </w:tcPr>
          <w:p w:rsidR="007F0AAE" w:rsidRDefault="007F0AAE">
            <w:pPr>
              <w:spacing w:line="320" w:lineRule="exact"/>
              <w:jc w:val="center"/>
              <w:rPr>
                <w:rFonts w:ascii="Arial"/>
                <w:w w:val="95"/>
                <w:sz w:val="24"/>
                <w:szCs w:val="24"/>
              </w:rPr>
            </w:pPr>
          </w:p>
        </w:tc>
        <w:tc>
          <w:tcPr>
            <w:tcW w:w="1409" w:type="dxa"/>
            <w:tcBorders>
              <w:bottom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w:t>
            </w:r>
            <w:r>
              <w:rPr>
                <w:w w:val="95"/>
                <w:sz w:val="24"/>
                <w:szCs w:val="24"/>
              </w:rPr>
              <w:t>T14506</w:t>
            </w:r>
            <w:r>
              <w:rPr>
                <w:w w:val="95"/>
                <w:sz w:val="24"/>
                <w:szCs w:val="24"/>
              </w:rPr>
              <w:t>.30</w:t>
            </w:r>
          </w:p>
        </w:tc>
        <w:tc>
          <w:tcPr>
            <w:tcW w:w="3502" w:type="dxa"/>
            <w:tcBorders>
              <w:bottom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硅酸盐岩石化学分析方法</w:t>
            </w:r>
            <w:r>
              <w:rPr>
                <w:w w:val="95"/>
                <w:sz w:val="24"/>
                <w:szCs w:val="24"/>
              </w:rPr>
              <w:t xml:space="preserve"> </w:t>
            </w:r>
            <w:r>
              <w:rPr>
                <w:w w:val="95"/>
                <w:sz w:val="24"/>
                <w:szCs w:val="24"/>
              </w:rPr>
              <w:t>第</w:t>
            </w:r>
            <w:r>
              <w:rPr>
                <w:w w:val="95"/>
                <w:sz w:val="24"/>
                <w:szCs w:val="24"/>
              </w:rPr>
              <w:t>30</w:t>
            </w:r>
            <w:r>
              <w:rPr>
                <w:w w:val="95"/>
                <w:sz w:val="24"/>
                <w:szCs w:val="24"/>
              </w:rPr>
              <w:t>部分：</w:t>
            </w:r>
            <w:r>
              <w:rPr>
                <w:w w:val="95"/>
                <w:sz w:val="24"/>
                <w:szCs w:val="24"/>
              </w:rPr>
              <w:t>44</w:t>
            </w:r>
            <w:r>
              <w:rPr>
                <w:w w:val="95"/>
                <w:sz w:val="24"/>
                <w:szCs w:val="24"/>
              </w:rPr>
              <w:t>个元素量测定</w:t>
            </w:r>
          </w:p>
        </w:tc>
        <w:tc>
          <w:tcPr>
            <w:tcW w:w="1514" w:type="dxa"/>
            <w:tcBorders>
              <w:bottom w:val="single" w:sz="6" w:space="0" w:color="000000"/>
              <w:righ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适合土壤和底泥中钍的测定</w:t>
            </w:r>
          </w:p>
        </w:tc>
      </w:tr>
      <w:tr w:rsidR="007F0AAE">
        <w:trPr>
          <w:trHeight w:val="730"/>
          <w:jc w:val="center"/>
        </w:trPr>
        <w:tc>
          <w:tcPr>
            <w:tcW w:w="1341" w:type="dxa"/>
            <w:vMerge w:val="restart"/>
            <w:tcBorders>
              <w:top w:val="single" w:sz="6" w:space="0" w:color="000000"/>
              <w:left w:val="single" w:sz="6" w:space="0" w:color="000000"/>
              <w:bottom w:val="single" w:sz="6" w:space="0" w:color="000000"/>
              <w:righ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vertAlign w:val="superscript"/>
                <w:lang/>
              </w:rPr>
              <w:t>226</w:t>
            </w:r>
            <w:r>
              <w:rPr>
                <w:w w:val="95"/>
                <w:sz w:val="24"/>
                <w:szCs w:val="24"/>
              </w:rPr>
              <w:t>Ra</w:t>
            </w:r>
          </w:p>
        </w:tc>
        <w:tc>
          <w:tcPr>
            <w:tcW w:w="1196" w:type="dxa"/>
            <w:vMerge w:val="restart"/>
            <w:tcBorders>
              <w:top w:val="single" w:sz="6" w:space="0" w:color="000000"/>
              <w:left w:val="single" w:sz="6" w:space="0" w:color="000000"/>
              <w:bottom w:val="single" w:sz="6" w:space="0" w:color="000000"/>
              <w:right w:val="single" w:sz="6" w:space="0" w:color="000000"/>
            </w:tcBorders>
            <w:noWrap/>
            <w:vAlign w:val="center"/>
          </w:tcPr>
          <w:p w:rsidR="007F0AAE" w:rsidRDefault="00893899">
            <w:pPr>
              <w:pStyle w:val="TableText"/>
              <w:spacing w:line="320" w:lineRule="exact"/>
              <w:jc w:val="center"/>
              <w:rPr>
                <w:w w:val="95"/>
                <w:sz w:val="24"/>
                <w:szCs w:val="24"/>
              </w:rPr>
            </w:pPr>
            <w:r>
              <w:rPr>
                <w:w w:val="95"/>
                <w:sz w:val="24"/>
                <w:szCs w:val="24"/>
              </w:rPr>
              <w:t>土壤、底泥</w:t>
            </w:r>
          </w:p>
        </w:tc>
        <w:tc>
          <w:tcPr>
            <w:tcW w:w="1409" w:type="dxa"/>
            <w:tcBorders>
              <w:top w:val="single" w:sz="6" w:space="0" w:color="000000"/>
              <w:left w:val="single" w:sz="6" w:space="0" w:color="000000"/>
              <w:bottom w:val="single" w:sz="6" w:space="0" w:color="000000"/>
              <w:right w:val="single" w:sz="6" w:space="0" w:color="000000"/>
            </w:tcBorders>
            <w:noWrap/>
            <w:vAlign w:val="center"/>
          </w:tcPr>
          <w:p w:rsidR="007F0AAE" w:rsidRDefault="00893899">
            <w:pPr>
              <w:pStyle w:val="TableText"/>
              <w:spacing w:line="320" w:lineRule="exact"/>
              <w:jc w:val="center"/>
              <w:rPr>
                <w:w w:val="95"/>
                <w:sz w:val="24"/>
                <w:szCs w:val="24"/>
              </w:rPr>
            </w:pPr>
            <w:r>
              <w:rPr>
                <w:rFonts w:hint="eastAsia"/>
                <w:color w:val="auto"/>
                <w:w w:val="95"/>
                <w:sz w:val="24"/>
                <w:szCs w:val="24"/>
              </w:rPr>
              <w:t>GB/T16145</w:t>
            </w:r>
          </w:p>
        </w:tc>
        <w:tc>
          <w:tcPr>
            <w:tcW w:w="3502" w:type="dxa"/>
            <w:tcBorders>
              <w:top w:val="single" w:sz="6" w:space="0" w:color="000000"/>
              <w:left w:val="single" w:sz="6" w:space="0" w:color="000000"/>
              <w:bottom w:val="single" w:sz="6" w:space="0" w:color="000000"/>
              <w:right w:val="single" w:sz="6" w:space="0" w:color="000000"/>
            </w:tcBorders>
            <w:noWrap/>
            <w:vAlign w:val="center"/>
          </w:tcPr>
          <w:p w:rsidR="007F0AAE" w:rsidRDefault="00893899">
            <w:pPr>
              <w:pStyle w:val="TableText"/>
              <w:spacing w:line="320" w:lineRule="exact"/>
              <w:jc w:val="center"/>
              <w:rPr>
                <w:w w:val="95"/>
                <w:sz w:val="24"/>
                <w:szCs w:val="24"/>
              </w:rPr>
            </w:pPr>
            <w:r>
              <w:rPr>
                <w:rFonts w:hint="eastAsia"/>
                <w:color w:val="auto"/>
                <w:w w:val="95"/>
                <w:sz w:val="24"/>
                <w:szCs w:val="24"/>
              </w:rPr>
              <w:t>环境及生物样品中放射性核素的γ能谱分析方法</w:t>
            </w:r>
          </w:p>
        </w:tc>
        <w:tc>
          <w:tcPr>
            <w:tcW w:w="1514" w:type="dxa"/>
            <w:tcBorders>
              <w:top w:val="single" w:sz="6" w:space="0" w:color="000000"/>
              <w:left w:val="single" w:sz="6" w:space="0" w:color="000000"/>
              <w:bottom w:val="single" w:sz="6" w:space="0" w:color="000000"/>
              <w:right w:val="single" w:sz="6" w:space="0" w:color="000000"/>
            </w:tcBorders>
            <w:noWrap/>
            <w:vAlign w:val="center"/>
          </w:tcPr>
          <w:p w:rsidR="007F0AAE" w:rsidRDefault="007F0AAE">
            <w:pPr>
              <w:spacing w:line="320" w:lineRule="exact"/>
              <w:jc w:val="center"/>
              <w:rPr>
                <w:rFonts w:ascii="Arial" w:hAnsi="仿宋_GB2312"/>
                <w:color w:val="000000"/>
                <w:w w:val="95"/>
                <w:sz w:val="24"/>
                <w:szCs w:val="24"/>
              </w:rPr>
            </w:pPr>
          </w:p>
        </w:tc>
      </w:tr>
      <w:tr w:rsidR="007F0AAE">
        <w:trPr>
          <w:trHeight w:val="730"/>
          <w:jc w:val="center"/>
        </w:trPr>
        <w:tc>
          <w:tcPr>
            <w:tcW w:w="1341" w:type="dxa"/>
            <w:vMerge/>
            <w:tcBorders>
              <w:left w:val="single" w:sz="6" w:space="0" w:color="000000"/>
              <w:right w:val="single" w:sz="6" w:space="0" w:color="000000"/>
            </w:tcBorders>
            <w:noWrap/>
            <w:vAlign w:val="center"/>
          </w:tcPr>
          <w:p w:rsidR="007F0AAE" w:rsidRDefault="007F0AAE">
            <w:pPr>
              <w:spacing w:line="320" w:lineRule="exact"/>
              <w:jc w:val="center"/>
              <w:rPr>
                <w:rFonts w:ascii="Arial"/>
                <w:w w:val="95"/>
                <w:sz w:val="24"/>
                <w:szCs w:val="24"/>
              </w:rPr>
            </w:pPr>
          </w:p>
        </w:tc>
        <w:tc>
          <w:tcPr>
            <w:tcW w:w="1196" w:type="dxa"/>
            <w:vMerge/>
            <w:tcBorders>
              <w:left w:val="single" w:sz="6" w:space="0" w:color="000000"/>
              <w:right w:val="single" w:sz="6" w:space="0" w:color="000000"/>
            </w:tcBorders>
            <w:noWrap/>
            <w:vAlign w:val="center"/>
          </w:tcPr>
          <w:p w:rsidR="007F0AAE" w:rsidRDefault="007F0AAE">
            <w:pPr>
              <w:spacing w:line="320" w:lineRule="exact"/>
              <w:jc w:val="center"/>
              <w:rPr>
                <w:rFonts w:ascii="Arial"/>
                <w:w w:val="95"/>
                <w:sz w:val="24"/>
                <w:szCs w:val="24"/>
              </w:rPr>
            </w:pP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EJ</w:t>
            </w:r>
            <w:r>
              <w:rPr>
                <w:w w:val="95"/>
                <w:sz w:val="24"/>
                <w:szCs w:val="24"/>
              </w:rPr>
              <w:t>/T1117</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土壤中镭</w:t>
            </w:r>
            <w:r>
              <w:rPr>
                <w:w w:val="95"/>
                <w:sz w:val="24"/>
                <w:szCs w:val="24"/>
              </w:rPr>
              <w:t>-226</w:t>
            </w:r>
            <w:r>
              <w:rPr>
                <w:w w:val="95"/>
                <w:sz w:val="24"/>
                <w:szCs w:val="24"/>
              </w:rPr>
              <w:t>的放射化学分析方法</w:t>
            </w:r>
          </w:p>
        </w:tc>
        <w:tc>
          <w:tcPr>
            <w:tcW w:w="1514" w:type="dxa"/>
            <w:noWrap/>
            <w:vAlign w:val="center"/>
          </w:tcPr>
          <w:p w:rsidR="007F0AAE" w:rsidRDefault="007F0AAE">
            <w:pPr>
              <w:spacing w:line="320" w:lineRule="exact"/>
              <w:jc w:val="center"/>
              <w:rPr>
                <w:rFonts w:ascii="Arial" w:hAnsi="仿宋_GB2312"/>
                <w:color w:val="000000"/>
                <w:w w:val="95"/>
                <w:sz w:val="24"/>
                <w:szCs w:val="24"/>
              </w:rPr>
            </w:pPr>
          </w:p>
        </w:tc>
      </w:tr>
      <w:tr w:rsidR="007F0AAE">
        <w:trPr>
          <w:trHeight w:val="730"/>
          <w:jc w:val="center"/>
        </w:trPr>
        <w:tc>
          <w:tcPr>
            <w:tcW w:w="1341" w:type="dxa"/>
            <w:vMerge/>
            <w:tcBorders>
              <w:left w:val="single" w:sz="6" w:space="0" w:color="000000"/>
              <w:right w:val="single" w:sz="6" w:space="0" w:color="000000"/>
            </w:tcBorders>
            <w:noWrap/>
            <w:vAlign w:val="center"/>
          </w:tcPr>
          <w:p w:rsidR="007F0AAE" w:rsidRDefault="007F0AAE">
            <w:pPr>
              <w:spacing w:line="320" w:lineRule="exact"/>
              <w:jc w:val="center"/>
              <w:rPr>
                <w:rFonts w:ascii="Arial"/>
                <w:w w:val="95"/>
                <w:sz w:val="24"/>
                <w:szCs w:val="24"/>
              </w:rPr>
            </w:pPr>
          </w:p>
        </w:tc>
        <w:tc>
          <w:tcPr>
            <w:tcW w:w="1196" w:type="dxa"/>
            <w:vMerge/>
            <w:tcBorders>
              <w:left w:val="single" w:sz="6" w:space="0" w:color="000000"/>
              <w:right w:val="single" w:sz="6" w:space="0" w:color="000000"/>
            </w:tcBorders>
            <w:noWrap/>
            <w:vAlign w:val="center"/>
          </w:tcPr>
          <w:p w:rsidR="007F0AAE" w:rsidRDefault="007F0AAE">
            <w:pPr>
              <w:spacing w:line="320" w:lineRule="exact"/>
              <w:jc w:val="center"/>
              <w:rPr>
                <w:rFonts w:ascii="Arial"/>
                <w:w w:val="95"/>
                <w:sz w:val="24"/>
                <w:szCs w:val="24"/>
              </w:rPr>
            </w:pP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/T13073</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岩石样品</w:t>
            </w:r>
            <w:r>
              <w:rPr>
                <w:w w:val="95"/>
                <w:sz w:val="24"/>
                <w:szCs w:val="24"/>
              </w:rPr>
              <w:t>226</w:t>
            </w:r>
            <w:r>
              <w:rPr>
                <w:w w:val="95"/>
                <w:sz w:val="24"/>
                <w:szCs w:val="24"/>
              </w:rPr>
              <w:t>Ra</w:t>
            </w:r>
            <w:r>
              <w:rPr>
                <w:w w:val="95"/>
                <w:sz w:val="24"/>
                <w:szCs w:val="24"/>
              </w:rPr>
              <w:t>的测定射气法</w:t>
            </w:r>
          </w:p>
        </w:tc>
        <w:tc>
          <w:tcPr>
            <w:tcW w:w="1514" w:type="dxa"/>
            <w:noWrap/>
            <w:vAlign w:val="center"/>
          </w:tcPr>
          <w:p w:rsidR="007F0AAE" w:rsidRDefault="007F0AAE">
            <w:pPr>
              <w:spacing w:line="320" w:lineRule="exact"/>
              <w:jc w:val="center"/>
              <w:rPr>
                <w:rFonts w:ascii="Arial" w:hAnsi="仿宋_GB2312"/>
                <w:color w:val="000000"/>
                <w:w w:val="95"/>
                <w:sz w:val="24"/>
                <w:szCs w:val="24"/>
              </w:rPr>
            </w:pPr>
          </w:p>
        </w:tc>
      </w:tr>
      <w:tr w:rsidR="007F0AAE">
        <w:trPr>
          <w:trHeight w:val="730"/>
          <w:jc w:val="center"/>
        </w:trPr>
        <w:tc>
          <w:tcPr>
            <w:tcW w:w="1341" w:type="dxa"/>
            <w:vMerge/>
            <w:tcBorders>
              <w:left w:val="single" w:sz="6" w:space="0" w:color="000000"/>
              <w:right w:val="single" w:sz="6" w:space="0" w:color="000000"/>
            </w:tcBorders>
            <w:noWrap/>
            <w:vAlign w:val="center"/>
          </w:tcPr>
          <w:p w:rsidR="007F0AAE" w:rsidRDefault="007F0AAE">
            <w:pPr>
              <w:spacing w:line="320" w:lineRule="exact"/>
              <w:jc w:val="center"/>
              <w:rPr>
                <w:rFonts w:ascii="Arial"/>
                <w:w w:val="95"/>
                <w:sz w:val="24"/>
                <w:szCs w:val="24"/>
              </w:rPr>
            </w:pPr>
          </w:p>
        </w:tc>
        <w:tc>
          <w:tcPr>
            <w:tcW w:w="1196" w:type="dxa"/>
            <w:noWrap/>
            <w:vAlign w:val="center"/>
          </w:tcPr>
          <w:p w:rsidR="007F0AAE" w:rsidRDefault="00893899">
            <w:pPr>
              <w:pStyle w:val="TableText"/>
              <w:spacing w:line="320" w:lineRule="exact"/>
              <w:jc w:val="center"/>
              <w:rPr>
                <w:w w:val="95"/>
                <w:sz w:val="24"/>
                <w:szCs w:val="24"/>
              </w:rPr>
            </w:pPr>
            <w:r>
              <w:rPr>
                <w:w w:val="95"/>
                <w:sz w:val="24"/>
                <w:szCs w:val="24"/>
              </w:rPr>
              <w:t>水样</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GB</w:t>
            </w:r>
            <w:r>
              <w:rPr>
                <w:w w:val="95"/>
                <w:sz w:val="24"/>
                <w:szCs w:val="24"/>
              </w:rPr>
              <w:t>/T11214</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水中镭</w:t>
            </w:r>
            <w:r>
              <w:rPr>
                <w:w w:val="95"/>
                <w:sz w:val="24"/>
                <w:szCs w:val="24"/>
              </w:rPr>
              <w:t>-226</w:t>
            </w:r>
            <w:r>
              <w:rPr>
                <w:w w:val="95"/>
                <w:sz w:val="24"/>
                <w:szCs w:val="24"/>
              </w:rPr>
              <w:t>的分析测定</w:t>
            </w:r>
          </w:p>
        </w:tc>
        <w:tc>
          <w:tcPr>
            <w:tcW w:w="1514" w:type="dxa"/>
            <w:noWrap/>
            <w:vAlign w:val="center"/>
          </w:tcPr>
          <w:p w:rsidR="007F0AAE" w:rsidRDefault="007F0AAE">
            <w:pPr>
              <w:spacing w:line="320" w:lineRule="exact"/>
              <w:jc w:val="center"/>
              <w:rPr>
                <w:rFonts w:ascii="Arial" w:hAnsi="仿宋_GB2312"/>
                <w:color w:val="000000"/>
                <w:w w:val="95"/>
                <w:sz w:val="24"/>
                <w:szCs w:val="24"/>
              </w:rPr>
            </w:pPr>
          </w:p>
        </w:tc>
      </w:tr>
      <w:tr w:rsidR="007F0AAE">
        <w:trPr>
          <w:trHeight w:val="730"/>
          <w:jc w:val="center"/>
        </w:trPr>
        <w:tc>
          <w:tcPr>
            <w:tcW w:w="1341" w:type="dxa"/>
            <w:noWrap/>
            <w:vAlign w:val="center"/>
          </w:tcPr>
          <w:p w:rsidR="007F0AAE" w:rsidRDefault="00893899">
            <w:pPr>
              <w:pStyle w:val="TableText"/>
              <w:spacing w:line="320" w:lineRule="exact"/>
              <w:jc w:val="center"/>
              <w:rPr>
                <w:w w:val="95"/>
                <w:sz w:val="24"/>
                <w:szCs w:val="24"/>
              </w:rPr>
            </w:pPr>
            <w:r>
              <w:rPr>
                <w:w w:val="95"/>
                <w:sz w:val="24"/>
                <w:szCs w:val="24"/>
              </w:rPr>
              <w:t>总</w:t>
            </w:r>
            <w:r>
              <w:rPr>
                <w:w w:val="95"/>
                <w:sz w:val="24"/>
                <w:szCs w:val="24"/>
              </w:rPr>
              <w:t>α</w:t>
            </w:r>
          </w:p>
        </w:tc>
        <w:tc>
          <w:tcPr>
            <w:tcW w:w="1196" w:type="dxa"/>
            <w:noWrap/>
            <w:vAlign w:val="center"/>
          </w:tcPr>
          <w:p w:rsidR="007F0AAE" w:rsidRDefault="00893899">
            <w:pPr>
              <w:pStyle w:val="TableText"/>
              <w:spacing w:line="320" w:lineRule="exact"/>
              <w:jc w:val="center"/>
              <w:rPr>
                <w:w w:val="95"/>
                <w:sz w:val="24"/>
                <w:szCs w:val="24"/>
              </w:rPr>
            </w:pPr>
            <w:r>
              <w:rPr>
                <w:w w:val="95"/>
                <w:sz w:val="24"/>
                <w:szCs w:val="24"/>
              </w:rPr>
              <w:t>水样</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EJ</w:t>
            </w:r>
            <w:r>
              <w:rPr>
                <w:w w:val="95"/>
                <w:sz w:val="24"/>
                <w:szCs w:val="24"/>
              </w:rPr>
              <w:t>/T1075</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水中总</w:t>
            </w:r>
            <w:r>
              <w:rPr>
                <w:w w:val="95"/>
                <w:sz w:val="24"/>
                <w:szCs w:val="24"/>
              </w:rPr>
              <w:t>α</w:t>
            </w:r>
            <w:r>
              <w:rPr>
                <w:w w:val="95"/>
                <w:sz w:val="24"/>
                <w:szCs w:val="24"/>
              </w:rPr>
              <w:t>放射性浓度的测定</w:t>
            </w:r>
            <w:r>
              <w:rPr>
                <w:w w:val="95"/>
                <w:sz w:val="24"/>
                <w:szCs w:val="24"/>
              </w:rPr>
              <w:t xml:space="preserve"> </w:t>
            </w:r>
            <w:r>
              <w:rPr>
                <w:w w:val="95"/>
                <w:sz w:val="24"/>
                <w:szCs w:val="24"/>
              </w:rPr>
              <w:t>厚源法</w:t>
            </w:r>
          </w:p>
        </w:tc>
        <w:tc>
          <w:tcPr>
            <w:tcW w:w="1514" w:type="dxa"/>
            <w:noWrap/>
            <w:vAlign w:val="center"/>
          </w:tcPr>
          <w:p w:rsidR="007F0AAE" w:rsidRDefault="007F0AAE">
            <w:pPr>
              <w:spacing w:line="320" w:lineRule="exact"/>
              <w:jc w:val="center"/>
              <w:rPr>
                <w:rFonts w:ascii="Arial" w:hAnsi="仿宋_GB2312"/>
                <w:color w:val="000000"/>
                <w:w w:val="95"/>
                <w:sz w:val="24"/>
                <w:szCs w:val="24"/>
              </w:rPr>
            </w:pPr>
          </w:p>
        </w:tc>
      </w:tr>
      <w:tr w:rsidR="007F0AAE">
        <w:trPr>
          <w:trHeight w:val="730"/>
          <w:jc w:val="center"/>
        </w:trPr>
        <w:tc>
          <w:tcPr>
            <w:tcW w:w="1341" w:type="dxa"/>
            <w:noWrap/>
            <w:vAlign w:val="center"/>
          </w:tcPr>
          <w:p w:rsidR="007F0AAE" w:rsidRDefault="00893899">
            <w:pPr>
              <w:pStyle w:val="TableText"/>
              <w:spacing w:line="320" w:lineRule="exact"/>
              <w:jc w:val="center"/>
              <w:rPr>
                <w:w w:val="95"/>
                <w:sz w:val="24"/>
                <w:szCs w:val="24"/>
              </w:rPr>
            </w:pPr>
            <w:r>
              <w:rPr>
                <w:w w:val="95"/>
                <w:sz w:val="24"/>
                <w:szCs w:val="24"/>
              </w:rPr>
              <w:t>总</w:t>
            </w:r>
            <w:r>
              <w:rPr>
                <w:w w:val="95"/>
                <w:sz w:val="24"/>
                <w:szCs w:val="24"/>
              </w:rPr>
              <w:t>β</w:t>
            </w:r>
          </w:p>
        </w:tc>
        <w:tc>
          <w:tcPr>
            <w:tcW w:w="1196" w:type="dxa"/>
            <w:noWrap/>
            <w:vAlign w:val="center"/>
          </w:tcPr>
          <w:p w:rsidR="007F0AAE" w:rsidRDefault="00893899">
            <w:pPr>
              <w:pStyle w:val="TableText"/>
              <w:spacing w:line="320" w:lineRule="exact"/>
              <w:jc w:val="center"/>
              <w:rPr>
                <w:w w:val="95"/>
                <w:sz w:val="24"/>
                <w:szCs w:val="24"/>
              </w:rPr>
            </w:pPr>
            <w:r>
              <w:rPr>
                <w:w w:val="95"/>
                <w:sz w:val="24"/>
                <w:szCs w:val="24"/>
              </w:rPr>
              <w:t>水样</w:t>
            </w:r>
          </w:p>
        </w:tc>
        <w:tc>
          <w:tcPr>
            <w:tcW w:w="1409" w:type="dxa"/>
            <w:noWrap/>
            <w:vAlign w:val="center"/>
          </w:tcPr>
          <w:p w:rsidR="007F0AAE" w:rsidRDefault="00893899">
            <w:pPr>
              <w:pStyle w:val="TableText"/>
              <w:spacing w:line="320" w:lineRule="exact"/>
              <w:jc w:val="center"/>
              <w:rPr>
                <w:w w:val="95"/>
                <w:sz w:val="24"/>
                <w:szCs w:val="24"/>
              </w:rPr>
            </w:pPr>
            <w:r>
              <w:rPr>
                <w:w w:val="95"/>
                <w:sz w:val="24"/>
                <w:szCs w:val="24"/>
              </w:rPr>
              <w:t>EJ</w:t>
            </w:r>
            <w:r>
              <w:rPr>
                <w:w w:val="95"/>
                <w:sz w:val="24"/>
                <w:szCs w:val="24"/>
              </w:rPr>
              <w:t>/T900</w:t>
            </w:r>
          </w:p>
        </w:tc>
        <w:tc>
          <w:tcPr>
            <w:tcW w:w="3502" w:type="dxa"/>
            <w:noWrap/>
            <w:vAlign w:val="center"/>
          </w:tcPr>
          <w:p w:rsidR="007F0AAE" w:rsidRDefault="00893899">
            <w:pPr>
              <w:pStyle w:val="TableText"/>
              <w:spacing w:line="320" w:lineRule="exact"/>
              <w:jc w:val="center"/>
              <w:rPr>
                <w:w w:val="95"/>
                <w:sz w:val="24"/>
                <w:szCs w:val="24"/>
              </w:rPr>
            </w:pPr>
            <w:r>
              <w:rPr>
                <w:w w:val="95"/>
                <w:sz w:val="24"/>
                <w:szCs w:val="24"/>
              </w:rPr>
              <w:t>水中总</w:t>
            </w:r>
            <w:r>
              <w:rPr>
                <w:w w:val="95"/>
                <w:sz w:val="24"/>
                <w:szCs w:val="24"/>
              </w:rPr>
              <w:t>β</w:t>
            </w:r>
            <w:r>
              <w:rPr>
                <w:w w:val="95"/>
                <w:sz w:val="24"/>
                <w:szCs w:val="24"/>
              </w:rPr>
              <w:t>放射性测定蒸发法</w:t>
            </w:r>
          </w:p>
        </w:tc>
        <w:tc>
          <w:tcPr>
            <w:tcW w:w="1514" w:type="dxa"/>
            <w:noWrap/>
            <w:vAlign w:val="center"/>
          </w:tcPr>
          <w:p w:rsidR="007F0AAE" w:rsidRDefault="007F0AAE">
            <w:pPr>
              <w:spacing w:line="320" w:lineRule="exact"/>
              <w:jc w:val="center"/>
              <w:rPr>
                <w:rFonts w:ascii="Arial" w:hAnsi="仿宋_GB2312"/>
                <w:color w:val="000000"/>
                <w:w w:val="95"/>
                <w:sz w:val="24"/>
                <w:szCs w:val="24"/>
              </w:rPr>
            </w:pPr>
          </w:p>
        </w:tc>
      </w:tr>
    </w:tbl>
    <w:p w:rsidR="007F0AAE" w:rsidRDefault="00893899">
      <w:pPr>
        <w:spacing w:line="241" w:lineRule="auto"/>
        <w:rPr>
          <w:rFonts w:ascii="Arial"/>
          <w:sz w:val="21"/>
        </w:rPr>
      </w:pPr>
      <w:r>
        <w:br w:type="page"/>
      </w:r>
      <w:r>
        <w:rPr>
          <w:rFonts w:ascii="黑体" w:eastAsia="黑体" w:hAnsi="黑体" w:cs="黑体" w:hint="eastAsia"/>
          <w:spacing w:val="-2"/>
          <w:szCs w:val="32"/>
        </w:rPr>
        <w:lastRenderedPageBreak/>
        <w:t>附录二</w:t>
      </w:r>
    </w:p>
    <w:p w:rsidR="007F0AAE" w:rsidRDefault="007F0AAE">
      <w:pPr>
        <w:spacing w:line="560" w:lineRule="exact"/>
        <w:jc w:val="center"/>
        <w:rPr>
          <w:rFonts w:ascii="方正小标宋简体" w:eastAsia="方正小标宋简体" w:hAnsi="方正小标宋简体" w:cs="方正小标宋简体"/>
          <w:spacing w:val="8"/>
          <w:sz w:val="36"/>
          <w:szCs w:val="36"/>
        </w:rPr>
      </w:pPr>
    </w:p>
    <w:p w:rsidR="007F0AAE" w:rsidRDefault="00893899">
      <w:pPr>
        <w:spacing w:line="600" w:lineRule="exact"/>
        <w:jc w:val="center"/>
        <w:rPr>
          <w:rFonts w:ascii="方正小标宋简体" w:eastAsia="方正小标宋简体" w:hAnsi="方正小标宋简体" w:cs="方正小标宋简体"/>
          <w:spacing w:val="8"/>
          <w:sz w:val="36"/>
          <w:szCs w:val="36"/>
        </w:rPr>
      </w:pPr>
      <w:r>
        <w:rPr>
          <w:rFonts w:ascii="方正小标宋简体" w:eastAsia="方正小标宋简体" w:hAnsi="方正小标宋简体" w:cs="方正小标宋简体" w:hint="eastAsia"/>
          <w:spacing w:val="8"/>
          <w:sz w:val="36"/>
          <w:szCs w:val="36"/>
        </w:rPr>
        <w:t>伴生放射性矿开发利用企业环境辐射监测</w:t>
      </w:r>
    </w:p>
    <w:p w:rsidR="007F0AAE" w:rsidRDefault="00893899">
      <w:pPr>
        <w:spacing w:line="600" w:lineRule="exact"/>
        <w:jc w:val="center"/>
        <w:rPr>
          <w:rFonts w:ascii="方正小标宋简体" w:eastAsia="方正小标宋简体" w:hAnsi="方正小标宋简体" w:cs="方正小标宋简体"/>
          <w:spacing w:val="8"/>
          <w:sz w:val="36"/>
          <w:szCs w:val="36"/>
        </w:rPr>
      </w:pPr>
      <w:r>
        <w:rPr>
          <w:rFonts w:ascii="方正小标宋简体" w:eastAsia="方正小标宋简体" w:hAnsi="方正小标宋简体" w:cs="方正小标宋简体" w:hint="eastAsia"/>
          <w:spacing w:val="8"/>
          <w:sz w:val="36"/>
          <w:szCs w:val="36"/>
        </w:rPr>
        <w:t>年度报告格式与内容</w:t>
      </w:r>
    </w:p>
    <w:p w:rsidR="007F0AAE" w:rsidRDefault="00893899">
      <w:pPr>
        <w:spacing w:line="640" w:lineRule="exact"/>
        <w:jc w:val="center"/>
        <w:rPr>
          <w:rFonts w:ascii="Arial"/>
          <w:sz w:val="21"/>
        </w:rPr>
      </w:pPr>
      <w:r>
        <w:rPr>
          <w:rFonts w:ascii="楷体_GB2312" w:eastAsia="楷体_GB2312" w:hAnsi="楷体_GB2312" w:cs="楷体_GB2312" w:hint="eastAsia"/>
          <w:spacing w:val="-14"/>
          <w:szCs w:val="32"/>
        </w:rPr>
        <w:t>（试行）</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1.</w:t>
      </w:r>
      <w:r>
        <w:rPr>
          <w:rFonts w:ascii="黑体" w:eastAsia="黑体" w:hAnsi="黑体" w:cs="黑体" w:hint="eastAsia"/>
          <w:w w:val="97"/>
        </w:rPr>
        <w:t>企业基本信息</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说明本单位的基本情况，包括企业名称、法定代表人、联系方式、所属行业、地理位置、生产周期、主要产品以及委托监测的机构名称等。</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2.</w:t>
      </w:r>
      <w:r>
        <w:rPr>
          <w:rFonts w:ascii="黑体" w:eastAsia="黑体" w:hAnsi="黑体" w:cs="黑体" w:hint="eastAsia"/>
          <w:w w:val="97"/>
        </w:rPr>
        <w:t>企业环境管理信息</w:t>
      </w:r>
    </w:p>
    <w:p w:rsidR="007F0AAE" w:rsidRDefault="00893899">
      <w:pPr>
        <w:spacing w:line="580" w:lineRule="exact"/>
        <w:ind w:firstLineChars="200" w:firstLine="620"/>
        <w:rPr>
          <w:rFonts w:ascii="仿宋_GB2312" w:hAnsi="仿宋_GB2312" w:cs="仿宋_GB2312"/>
          <w:w w:val="97"/>
          <w:szCs w:val="32"/>
        </w:rPr>
      </w:pPr>
      <w:r>
        <w:rPr>
          <w:rFonts w:ascii="仿宋_GB2312" w:hAnsi="仿宋_GB2312" w:cs="仿宋_GB2312" w:hint="eastAsia"/>
          <w:w w:val="97"/>
          <w:szCs w:val="32"/>
        </w:rPr>
        <w:t>介绍本单位主要的工艺流程，含放射性废气、废水和固体废物的处理措施和设施，物料中核素的放射性水平</w:t>
      </w:r>
      <w:r>
        <w:rPr>
          <w:rFonts w:ascii="仿宋_GB2312" w:hAnsi="仿宋_GB2312" w:cs="仿宋_GB2312" w:hint="eastAsia"/>
          <w:w w:val="97"/>
          <w:szCs w:val="32"/>
        </w:rPr>
        <w:t>，</w:t>
      </w:r>
      <w:r>
        <w:rPr>
          <w:rFonts w:ascii="仿宋_GB2312" w:hAnsi="仿宋_GB2312" w:cs="仿宋_GB2312" w:hint="eastAsia"/>
          <w:w w:val="97"/>
          <w:szCs w:val="32"/>
        </w:rPr>
        <w:t>涉伴生放射性矿类别</w:t>
      </w:r>
      <w:r>
        <w:rPr>
          <w:rFonts w:ascii="仿宋_GB2312" w:hAnsi="仿宋_GB2312" w:cs="仿宋_GB2312" w:hint="eastAsia"/>
          <w:w w:val="97"/>
          <w:szCs w:val="32"/>
        </w:rPr>
        <w:t>，</w:t>
      </w:r>
      <w:r>
        <w:rPr>
          <w:rFonts w:ascii="仿宋_GB2312" w:hAnsi="仿宋_GB2312" w:cs="仿宋_GB2312" w:hint="eastAsia"/>
          <w:w w:val="97"/>
          <w:szCs w:val="32"/>
        </w:rPr>
        <w:t>辐射环境影响评价</w:t>
      </w:r>
      <w:r>
        <w:rPr>
          <w:rFonts w:cs="仿宋_GB2312" w:hint="eastAsia"/>
          <w:w w:val="97"/>
          <w:szCs w:val="32"/>
        </w:rPr>
        <w:t>开展、</w:t>
      </w:r>
      <w:r>
        <w:rPr>
          <w:rFonts w:ascii="仿宋_GB2312" w:hAnsi="仿宋_GB2312" w:cs="仿宋_GB2312" w:hint="eastAsia"/>
          <w:w w:val="97"/>
          <w:szCs w:val="32"/>
        </w:rPr>
        <w:t>辐射事故应急预案</w:t>
      </w:r>
      <w:r>
        <w:rPr>
          <w:rFonts w:cs="仿宋_GB2312" w:hint="eastAsia"/>
          <w:w w:val="97"/>
          <w:szCs w:val="32"/>
        </w:rPr>
        <w:t>制定及更新情况</w:t>
      </w:r>
      <w:r>
        <w:rPr>
          <w:rFonts w:ascii="仿宋_GB2312" w:hAnsi="仿宋_GB2312" w:cs="仿宋_GB2312" w:hint="eastAsia"/>
          <w:w w:val="97"/>
          <w:szCs w:val="32"/>
        </w:rPr>
        <w:t>，</w:t>
      </w:r>
      <w:r>
        <w:rPr>
          <w:rFonts w:ascii="仿宋_GB2312" w:hAnsi="仿宋_GB2312" w:cs="仿宋_GB2312" w:hint="eastAsia"/>
          <w:w w:val="97"/>
          <w:szCs w:val="32"/>
        </w:rPr>
        <w:t>历年伴生放射性废渣出入库与贮存数据等</w:t>
      </w:r>
      <w:r>
        <w:rPr>
          <w:rFonts w:ascii="仿宋_GB2312" w:hAnsi="仿宋_GB2312" w:cs="仿宋_GB2312" w:hint="eastAsia"/>
          <w:w w:val="97"/>
          <w:szCs w:val="32"/>
        </w:rPr>
        <w:t>。</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3.</w:t>
      </w:r>
      <w:r>
        <w:rPr>
          <w:rFonts w:ascii="黑体" w:eastAsia="黑体" w:hAnsi="黑体" w:cs="黑体" w:hint="eastAsia"/>
          <w:w w:val="97"/>
        </w:rPr>
        <w:t>厂（场）址辐射环境本底</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提供单位厂（场）址所在地的辐射环境本底值。如厂（场）址在建设前未开展辐射环境本底调查，提供本地区的辐射环境质量水平。</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4.</w:t>
      </w:r>
      <w:r>
        <w:rPr>
          <w:rFonts w:ascii="黑体" w:eastAsia="黑体" w:hAnsi="黑体" w:cs="黑体" w:hint="eastAsia"/>
          <w:w w:val="97"/>
        </w:rPr>
        <w:t>监测的依据和标准</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列出开展环境辐射监测依据的法规、标准，流出物排放执行的标准和限值，监测采用的标准等。</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5.</w:t>
      </w:r>
      <w:r>
        <w:rPr>
          <w:rFonts w:ascii="黑体" w:eastAsia="黑体" w:hAnsi="黑体" w:cs="黑体" w:hint="eastAsia"/>
          <w:w w:val="97"/>
        </w:rPr>
        <w:t>质量保证</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说明开展环境辐射监测采取的质量保证措施。委托监测的</w:t>
      </w:r>
      <w:r>
        <w:rPr>
          <w:rFonts w:ascii="仿宋_GB2312" w:eastAsia="仿宋_GB2312" w:hAnsi="仿宋_GB2312" w:cs="仿宋_GB2312" w:hint="eastAsia"/>
          <w:w w:val="97"/>
        </w:rPr>
        <w:lastRenderedPageBreak/>
        <w:t>说明被委托单位的质量保证措施、资质情况。</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6.</w:t>
      </w:r>
      <w:r>
        <w:rPr>
          <w:rFonts w:ascii="黑体" w:eastAsia="黑体" w:hAnsi="黑体" w:cs="黑体" w:hint="eastAsia"/>
          <w:w w:val="97"/>
        </w:rPr>
        <w:t>流出物监测</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6.1</w:t>
      </w:r>
      <w:r>
        <w:rPr>
          <w:rFonts w:ascii="楷体_GB2312" w:eastAsia="楷体_GB2312" w:hAnsi="楷体_GB2312" w:cs="楷体_GB2312" w:hint="eastAsia"/>
          <w:w w:val="97"/>
        </w:rPr>
        <w:t>流出物监测方案</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给出流出物监测方案，并说明与上一年度相比是否有调整及调整的原因。</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6.2</w:t>
      </w:r>
      <w:r>
        <w:rPr>
          <w:rFonts w:ascii="楷体_GB2312" w:eastAsia="楷体_GB2312" w:hAnsi="楷体_GB2312" w:cs="楷体_GB2312" w:hint="eastAsia"/>
          <w:w w:val="97"/>
        </w:rPr>
        <w:t>流出物监测结果</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列表给出流出物监测结果。</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6.3</w:t>
      </w:r>
      <w:r>
        <w:rPr>
          <w:rFonts w:ascii="楷体_GB2312" w:eastAsia="楷体_GB2312" w:hAnsi="楷体_GB2312" w:cs="楷体_GB2312" w:hint="eastAsia"/>
          <w:w w:val="97"/>
        </w:rPr>
        <w:t>流出物监测结果分析</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分析流出物排放是否达标。如在监测中发现流出物排放超标，说明采取的措施、原因分析及报告情况。</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7.</w:t>
      </w:r>
      <w:r>
        <w:rPr>
          <w:rFonts w:ascii="黑体" w:eastAsia="黑体" w:hAnsi="黑体" w:cs="黑体" w:hint="eastAsia"/>
          <w:w w:val="97"/>
        </w:rPr>
        <w:t>辐射环境监测</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7.1</w:t>
      </w:r>
      <w:r>
        <w:rPr>
          <w:rFonts w:ascii="楷体_GB2312" w:eastAsia="楷体_GB2312" w:hAnsi="楷体_GB2312" w:cs="楷体_GB2312" w:hint="eastAsia"/>
          <w:w w:val="97"/>
        </w:rPr>
        <w:t>辐射环境监测方案</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给出辐射环境监测方案，并说明与上一年度相比是否有调整及调整的原因，给出辐射环境监测布点图。</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7.2</w:t>
      </w:r>
      <w:r>
        <w:rPr>
          <w:rFonts w:ascii="楷体_GB2312" w:eastAsia="楷体_GB2312" w:hAnsi="楷体_GB2312" w:cs="楷体_GB2312" w:hint="eastAsia"/>
          <w:w w:val="97"/>
        </w:rPr>
        <w:t>辐射环境监</w:t>
      </w:r>
      <w:r>
        <w:rPr>
          <w:rFonts w:ascii="楷体_GB2312" w:eastAsia="楷体_GB2312" w:hAnsi="楷体_GB2312" w:cs="楷体_GB2312" w:hint="eastAsia"/>
          <w:w w:val="97"/>
        </w:rPr>
        <w:t>测结果</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列表给出辐射环境监测结果。</w:t>
      </w:r>
    </w:p>
    <w:p w:rsidR="007F0AAE" w:rsidRDefault="00893899">
      <w:pPr>
        <w:pStyle w:val="a4"/>
        <w:spacing w:after="0" w:line="580" w:lineRule="exact"/>
        <w:ind w:firstLineChars="200" w:firstLine="620"/>
        <w:rPr>
          <w:rFonts w:ascii="楷体_GB2312" w:eastAsia="楷体_GB2312" w:hAnsi="楷体_GB2312" w:cs="楷体_GB2312"/>
          <w:w w:val="97"/>
        </w:rPr>
      </w:pPr>
      <w:r>
        <w:rPr>
          <w:rFonts w:ascii="楷体_GB2312" w:eastAsia="楷体_GB2312" w:hAnsi="楷体_GB2312" w:cs="楷体_GB2312" w:hint="eastAsia"/>
          <w:w w:val="97"/>
        </w:rPr>
        <w:t>7.3</w:t>
      </w:r>
      <w:r>
        <w:rPr>
          <w:rFonts w:ascii="楷体_GB2312" w:eastAsia="楷体_GB2312" w:hAnsi="楷体_GB2312" w:cs="楷体_GB2312" w:hint="eastAsia"/>
          <w:w w:val="97"/>
        </w:rPr>
        <w:t>辐射环境监测结果分析</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将本年度的辐射环境监测结果与上年度监测结果及本底值进行比较，分析变化的趋势及原因。如监测结果超过本底值三倍，应分析原因并采取措施。</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8.</w:t>
      </w:r>
      <w:r>
        <w:rPr>
          <w:rFonts w:ascii="黑体" w:eastAsia="黑体" w:hAnsi="黑体" w:cs="黑体" w:hint="eastAsia"/>
          <w:w w:val="97"/>
        </w:rPr>
        <w:t>结论</w:t>
      </w:r>
    </w:p>
    <w:p w:rsidR="007F0AAE" w:rsidRDefault="00893899">
      <w:pPr>
        <w:pStyle w:val="a4"/>
        <w:spacing w:after="0" w:line="580" w:lineRule="exact"/>
        <w:ind w:firstLineChars="200" w:firstLine="620"/>
        <w:rPr>
          <w:rFonts w:ascii="仿宋_GB2312" w:eastAsia="仿宋_GB2312" w:hAnsi="仿宋_GB2312" w:cs="仿宋_GB2312"/>
          <w:w w:val="97"/>
        </w:rPr>
      </w:pPr>
      <w:r>
        <w:rPr>
          <w:rFonts w:ascii="仿宋_GB2312" w:eastAsia="仿宋_GB2312" w:hAnsi="仿宋_GB2312" w:cs="仿宋_GB2312" w:hint="eastAsia"/>
          <w:w w:val="97"/>
        </w:rPr>
        <w:t>对本年度的环境辐射监测做总结性评述，总结存在的问题，并提出解决办法。</w:t>
      </w:r>
    </w:p>
    <w:p w:rsidR="007F0AAE" w:rsidRDefault="00893899">
      <w:pPr>
        <w:pStyle w:val="a4"/>
        <w:spacing w:after="0" w:line="580" w:lineRule="exact"/>
        <w:ind w:firstLineChars="200" w:firstLine="620"/>
        <w:outlineLvl w:val="0"/>
        <w:rPr>
          <w:rFonts w:ascii="黑体" w:eastAsia="黑体" w:hAnsi="黑体" w:cs="黑体"/>
          <w:w w:val="97"/>
        </w:rPr>
      </w:pPr>
      <w:r>
        <w:rPr>
          <w:rFonts w:ascii="黑体" w:eastAsia="黑体" w:hAnsi="黑体" w:cs="黑体" w:hint="eastAsia"/>
          <w:w w:val="97"/>
        </w:rPr>
        <w:t>9.</w:t>
      </w:r>
      <w:r>
        <w:rPr>
          <w:rFonts w:ascii="黑体" w:eastAsia="黑体" w:hAnsi="黑体" w:cs="黑体" w:hint="eastAsia"/>
          <w:w w:val="97"/>
        </w:rPr>
        <w:t>附件</w:t>
      </w:r>
    </w:p>
    <w:p w:rsidR="007F0AAE" w:rsidRDefault="00893899">
      <w:pPr>
        <w:widowControl/>
        <w:spacing w:line="520" w:lineRule="exact"/>
        <w:ind w:firstLine="648"/>
        <w:rPr>
          <w:rFonts w:ascii="方正黑体_GBK" w:eastAsia="方正黑体_GBK" w:hAnsi="方正黑体_GBK" w:cs="方正黑体_GBK"/>
          <w:szCs w:val="32"/>
        </w:rPr>
      </w:pPr>
      <w:r>
        <w:rPr>
          <w:rFonts w:ascii="仿宋_GB2312" w:hAnsi="仿宋_GB2312" w:cs="仿宋_GB2312" w:hint="eastAsia"/>
          <w:w w:val="97"/>
          <w:szCs w:val="32"/>
        </w:rPr>
        <w:lastRenderedPageBreak/>
        <w:t>提供各类监测报告、委托监测单位的资质等附件。</w:t>
      </w:r>
    </w:p>
    <w:p w:rsidR="007F0AAE" w:rsidRDefault="007F0AAE"/>
    <w:sectPr w:rsidR="007F0AAE" w:rsidSect="007F0A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899" w:rsidRDefault="00893899" w:rsidP="00A32059">
      <w:r>
        <w:separator/>
      </w:r>
    </w:p>
  </w:endnote>
  <w:endnote w:type="continuationSeparator" w:id="1">
    <w:p w:rsidR="00893899" w:rsidRDefault="00893899" w:rsidP="00A320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899" w:rsidRDefault="00893899" w:rsidP="00A32059">
      <w:r>
        <w:separator/>
      </w:r>
    </w:p>
  </w:footnote>
  <w:footnote w:type="continuationSeparator" w:id="1">
    <w:p w:rsidR="00893899" w:rsidRDefault="00893899" w:rsidP="00A320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Q3NjQxYmZmN2ZkODIxYWNiNTEzMzQyMTZmNzQ1MmMifQ=="/>
  </w:docVars>
  <w:rsids>
    <w:rsidRoot w:val="6AE31E82"/>
    <w:rsid w:val="007F0AAE"/>
    <w:rsid w:val="00893899"/>
    <w:rsid w:val="00A32059"/>
    <w:rsid w:val="6AE31E82"/>
    <w:rsid w:val="78CC6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F0AAE"/>
    <w:pPr>
      <w:widowControl w:val="0"/>
      <w:jc w:val="both"/>
    </w:pPr>
    <w:rPr>
      <w:rFonts w:ascii="Times New Roman"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2"/>
    <w:autoRedefine/>
    <w:qFormat/>
    <w:rsid w:val="007F0AAE"/>
    <w:pPr>
      <w:autoSpaceDE w:val="0"/>
      <w:autoSpaceDN w:val="0"/>
      <w:adjustRightInd w:val="0"/>
    </w:pPr>
    <w:rPr>
      <w:rFonts w:ascii="宋体" w:cs="宋体"/>
      <w:sz w:val="24"/>
    </w:rPr>
  </w:style>
  <w:style w:type="paragraph" w:customStyle="1" w:styleId="1">
    <w:name w:val="批注文字1"/>
    <w:autoRedefine/>
    <w:qFormat/>
    <w:rsid w:val="007F0AAE"/>
    <w:pPr>
      <w:widowControl w:val="0"/>
    </w:pPr>
    <w:rPr>
      <w:rFonts w:ascii="Times New Roman" w:eastAsia="宋体" w:hAnsi="Times New Roman" w:cs="Times New Roman"/>
      <w:color w:val="000000"/>
      <w:kern w:val="2"/>
      <w:sz w:val="21"/>
      <w:szCs w:val="24"/>
    </w:rPr>
  </w:style>
  <w:style w:type="paragraph" w:styleId="2">
    <w:name w:val="Body Text First Indent 2"/>
    <w:basedOn w:val="a3"/>
    <w:next w:val="a"/>
    <w:qFormat/>
    <w:rsid w:val="007F0AAE"/>
    <w:pPr>
      <w:ind w:firstLine="420"/>
    </w:pPr>
  </w:style>
  <w:style w:type="paragraph" w:styleId="a3">
    <w:name w:val="Body Text Indent"/>
    <w:basedOn w:val="a"/>
    <w:next w:val="2"/>
    <w:uiPriority w:val="99"/>
    <w:qFormat/>
    <w:rsid w:val="007F0AAE"/>
    <w:pPr>
      <w:spacing w:line="360" w:lineRule="exact"/>
      <w:ind w:firstLineChars="200" w:firstLine="360"/>
    </w:pPr>
    <w:rPr>
      <w:rFonts w:ascii="仿宋_GB2312" w:eastAsia="宋体" w:hAnsi="仿宋_GB2312"/>
      <w:color w:val="000000"/>
      <w:sz w:val="18"/>
      <w:szCs w:val="18"/>
    </w:rPr>
  </w:style>
  <w:style w:type="paragraph" w:styleId="a4">
    <w:name w:val="Body Text"/>
    <w:basedOn w:val="a"/>
    <w:qFormat/>
    <w:rsid w:val="007F0AAE"/>
    <w:pPr>
      <w:spacing w:after="120"/>
    </w:pPr>
    <w:rPr>
      <w:rFonts w:eastAsia="宋体"/>
      <w:color w:val="000000"/>
      <w:szCs w:val="32"/>
    </w:rPr>
  </w:style>
  <w:style w:type="table" w:customStyle="1" w:styleId="TableNormal">
    <w:name w:val="Table Normal"/>
    <w:autoRedefine/>
    <w:unhideWhenUsed/>
    <w:qFormat/>
    <w:rsid w:val="007F0AAE"/>
    <w:tblPr>
      <w:tblCellMar>
        <w:top w:w="0" w:type="dxa"/>
        <w:left w:w="0" w:type="dxa"/>
        <w:bottom w:w="0" w:type="dxa"/>
        <w:right w:w="0" w:type="dxa"/>
      </w:tblCellMar>
    </w:tblPr>
  </w:style>
  <w:style w:type="paragraph" w:customStyle="1" w:styleId="TableText">
    <w:name w:val="Table Text"/>
    <w:basedOn w:val="a"/>
    <w:autoRedefine/>
    <w:semiHidden/>
    <w:qFormat/>
    <w:rsid w:val="007F0AAE"/>
    <w:rPr>
      <w:rFonts w:ascii="仿宋_GB2312" w:hAnsi="仿宋_GB2312"/>
      <w:color w:val="000000"/>
      <w:sz w:val="20"/>
      <w:szCs w:val="20"/>
    </w:rPr>
  </w:style>
  <w:style w:type="paragraph" w:styleId="a5">
    <w:name w:val="header"/>
    <w:basedOn w:val="a"/>
    <w:link w:val="Char"/>
    <w:rsid w:val="00A32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2059"/>
    <w:rPr>
      <w:rFonts w:ascii="Times New Roman" w:eastAsia="仿宋_GB2312" w:hAnsi="Times New Roman" w:cs="Times New Roman"/>
      <w:kern w:val="2"/>
      <w:sz w:val="18"/>
      <w:szCs w:val="18"/>
    </w:rPr>
  </w:style>
  <w:style w:type="paragraph" w:styleId="a6">
    <w:name w:val="footer"/>
    <w:basedOn w:val="a"/>
    <w:link w:val="Char0"/>
    <w:rsid w:val="00A32059"/>
    <w:pPr>
      <w:tabs>
        <w:tab w:val="center" w:pos="4153"/>
        <w:tab w:val="right" w:pos="8306"/>
      </w:tabs>
      <w:snapToGrid w:val="0"/>
      <w:jc w:val="left"/>
    </w:pPr>
    <w:rPr>
      <w:sz w:val="18"/>
      <w:szCs w:val="18"/>
    </w:rPr>
  </w:style>
  <w:style w:type="character" w:customStyle="1" w:styleId="Char0">
    <w:name w:val="页脚 Char"/>
    <w:basedOn w:val="a0"/>
    <w:link w:val="a6"/>
    <w:rsid w:val="00A32059"/>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后羿-_-||</dc:creator>
  <cp:lastModifiedBy>Administrator</cp:lastModifiedBy>
  <cp:revision>2</cp:revision>
  <dcterms:created xsi:type="dcterms:W3CDTF">2025-02-19T01:17:00Z</dcterms:created>
  <dcterms:modified xsi:type="dcterms:W3CDTF">2025-02-19T01:17:00Z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C0843A4036184BD68A10780D1C732E15_11</vt:lpwstr>
  </property>
</Properties>
</file>