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1EE2A1">
      <w:pPr>
        <w:keepNext w:val="0"/>
        <w:keepLines w:val="0"/>
        <w:pageBreakBefore w:val="0"/>
        <w:widowControl w:val="0"/>
        <w:shd w:val="clear"/>
        <w:kinsoku/>
        <w:wordWrap/>
        <w:overflowPunct/>
        <w:topLinePunct w:val="0"/>
        <w:autoSpaceDE/>
        <w:autoSpaceDN/>
        <w:bidi w:val="0"/>
        <w:adjustRightInd/>
        <w:snapToGrid/>
        <w:spacing w:before="469" w:beforeLines="150" w:after="240" w:afterLines="100" w:line="360" w:lineRule="auto"/>
        <w:ind w:left="0" w:leftChars="0" w:firstLine="0" w:firstLineChars="0"/>
        <w:jc w:val="center"/>
        <w:textAlignment w:val="auto"/>
        <w:rPr>
          <w:rFonts w:hint="eastAsia"/>
          <w:b/>
          <w:color w:val="auto"/>
          <w:sz w:val="52"/>
          <w:szCs w:val="52"/>
          <w:highlight w:val="none"/>
          <w:lang w:val="en-US" w:eastAsia="zh-CN"/>
        </w:rPr>
      </w:pPr>
      <w:r>
        <w:rPr>
          <w:rFonts w:hint="eastAsia"/>
          <w:b/>
          <w:color w:val="auto"/>
          <w:sz w:val="52"/>
          <w:szCs w:val="52"/>
          <w:highlight w:val="none"/>
          <w:lang w:val="en-US" w:eastAsia="zh-CN"/>
        </w:rPr>
        <w:t>龙南市“十四五”国土空间</w:t>
      </w:r>
    </w:p>
    <w:p w14:paraId="29031DA3">
      <w:pPr>
        <w:shd w:val="clear"/>
        <w:spacing w:before="240" w:beforeLines="100" w:after="240" w:afterLines="100" w:line="360" w:lineRule="auto"/>
        <w:ind w:left="0" w:leftChars="0" w:firstLine="0" w:firstLineChars="0"/>
        <w:jc w:val="center"/>
        <w:rPr>
          <w:rFonts w:hint="eastAsia"/>
          <w:b/>
          <w:color w:val="auto"/>
          <w:sz w:val="52"/>
          <w:szCs w:val="52"/>
          <w:highlight w:val="none"/>
          <w:lang w:val="en-US" w:eastAsia="zh-CN"/>
        </w:rPr>
      </w:pPr>
      <w:r>
        <w:rPr>
          <w:rFonts w:hint="eastAsia"/>
          <w:b/>
          <w:color w:val="auto"/>
          <w:sz w:val="52"/>
          <w:szCs w:val="52"/>
          <w:highlight w:val="none"/>
          <w:lang w:val="en-US" w:eastAsia="zh-CN"/>
        </w:rPr>
        <w:t>生态修复规划说明书</w:t>
      </w:r>
    </w:p>
    <w:p w14:paraId="4AB6DEB3">
      <w:pPr>
        <w:shd w:val="clear"/>
        <w:spacing w:before="240" w:beforeLines="100" w:after="240" w:afterLines="100" w:line="360" w:lineRule="auto"/>
        <w:ind w:left="0" w:leftChars="0" w:firstLine="0" w:firstLineChars="0"/>
        <w:jc w:val="center"/>
        <w:rPr>
          <w:rFonts w:hint="eastAsia"/>
          <w:b w:val="0"/>
          <w:bCs/>
          <w:color w:val="auto"/>
          <w:sz w:val="52"/>
          <w:szCs w:val="52"/>
          <w:highlight w:val="none"/>
          <w:lang w:val="en-US" w:eastAsia="zh-CN"/>
        </w:rPr>
      </w:pPr>
    </w:p>
    <w:p w14:paraId="5D5F2C90">
      <w:pPr>
        <w:pStyle w:val="2"/>
        <w:rPr>
          <w:rFonts w:hint="eastAsia"/>
          <w:lang w:val="en-US" w:eastAsia="zh-CN"/>
        </w:rPr>
      </w:pPr>
    </w:p>
    <w:p w14:paraId="661DF728">
      <w:pPr>
        <w:shd w:val="clear"/>
        <w:spacing w:after="337" w:line="360" w:lineRule="auto"/>
        <w:ind w:hangingChars="3"/>
        <w:jc w:val="center"/>
        <w:rPr>
          <w:rFonts w:hint="eastAsia"/>
          <w:color w:val="auto"/>
          <w:sz w:val="32"/>
          <w:highlight w:val="none"/>
        </w:rPr>
      </w:pPr>
    </w:p>
    <w:p w14:paraId="3954A71D">
      <w:pPr>
        <w:shd w:val="clear"/>
        <w:spacing w:after="337" w:line="360" w:lineRule="auto"/>
        <w:ind w:hangingChars="3"/>
        <w:jc w:val="center"/>
        <w:rPr>
          <w:rFonts w:hint="eastAsia"/>
          <w:color w:val="auto"/>
          <w:sz w:val="32"/>
          <w:highlight w:val="none"/>
        </w:rPr>
      </w:pPr>
    </w:p>
    <w:p w14:paraId="6C32F7A0">
      <w:pPr>
        <w:shd w:val="clear"/>
        <w:spacing w:after="337" w:line="360" w:lineRule="auto"/>
        <w:ind w:hangingChars="3"/>
        <w:jc w:val="center"/>
        <w:rPr>
          <w:rFonts w:hint="eastAsia"/>
          <w:color w:val="auto"/>
          <w:sz w:val="32"/>
          <w:highlight w:val="none"/>
        </w:rPr>
      </w:pPr>
    </w:p>
    <w:p w14:paraId="4CE087C7">
      <w:pPr>
        <w:shd w:val="clear"/>
        <w:spacing w:after="337" w:line="360" w:lineRule="auto"/>
        <w:ind w:hangingChars="3"/>
        <w:jc w:val="center"/>
        <w:rPr>
          <w:rFonts w:hint="eastAsia"/>
          <w:color w:val="auto"/>
          <w:sz w:val="32"/>
          <w:highlight w:val="none"/>
        </w:rPr>
      </w:pPr>
    </w:p>
    <w:p w14:paraId="084F73F3">
      <w:pPr>
        <w:shd w:val="clear"/>
        <w:spacing w:after="337" w:line="360" w:lineRule="auto"/>
        <w:ind w:hangingChars="3"/>
        <w:jc w:val="center"/>
        <w:rPr>
          <w:rFonts w:hint="eastAsia"/>
          <w:color w:val="auto"/>
          <w:sz w:val="32"/>
          <w:highlight w:val="none"/>
        </w:rPr>
      </w:pPr>
    </w:p>
    <w:p w14:paraId="3CD5E269">
      <w:pPr>
        <w:pStyle w:val="3"/>
        <w:shd w:val="clear"/>
        <w:rPr>
          <w:rFonts w:hint="eastAsia"/>
          <w:color w:val="auto"/>
          <w:highlight w:val="none"/>
        </w:rPr>
      </w:pPr>
    </w:p>
    <w:p w14:paraId="6E7FB162">
      <w:pPr>
        <w:pStyle w:val="4"/>
        <w:rPr>
          <w:rFonts w:hint="eastAsia"/>
          <w:color w:val="auto"/>
          <w:highlight w:val="none"/>
        </w:rPr>
      </w:pPr>
    </w:p>
    <w:p w14:paraId="5ACE7135">
      <w:pPr>
        <w:pStyle w:val="3"/>
        <w:keepNext w:val="0"/>
        <w:keepLines w:val="0"/>
        <w:pageBreakBefore w:val="0"/>
        <w:widowControl w:val="0"/>
        <w:shd w:val="clear"/>
        <w:kinsoku/>
        <w:wordWrap/>
        <w:overflowPunct/>
        <w:topLinePunct w:val="0"/>
        <w:autoSpaceDE/>
        <w:autoSpaceDN/>
        <w:bidi w:val="0"/>
        <w:adjustRightInd/>
        <w:snapToGrid/>
        <w:ind w:left="113" w:firstLine="0"/>
        <w:jc w:val="center"/>
        <w:textAlignment w:val="auto"/>
        <w:rPr>
          <w:rFonts w:hint="eastAsia" w:ascii="Times New Roman" w:hAnsi="Times New Roman" w:eastAsia="仿宋" w:cs="Times New Roman"/>
          <w:b/>
          <w:bCs/>
          <w:color w:val="auto"/>
          <w:spacing w:val="0"/>
          <w:sz w:val="32"/>
          <w:highlight w:val="none"/>
          <w:lang w:val="en-US" w:eastAsia="zh-CN"/>
        </w:rPr>
      </w:pPr>
      <w:r>
        <w:rPr>
          <w:rFonts w:hint="eastAsia" w:ascii="Times New Roman" w:hAnsi="Times New Roman" w:eastAsia="仿宋" w:cs="Times New Roman"/>
          <w:b/>
          <w:bCs/>
          <w:color w:val="auto"/>
          <w:spacing w:val="68"/>
          <w:sz w:val="32"/>
          <w:highlight w:val="none"/>
          <w:lang w:val="en-US" w:eastAsia="zh-CN"/>
        </w:rPr>
        <w:t>龙南市自然资源局</w:t>
      </w:r>
    </w:p>
    <w:p w14:paraId="305B2B6F">
      <w:pPr>
        <w:pStyle w:val="3"/>
        <w:keepNext w:val="0"/>
        <w:keepLines w:val="0"/>
        <w:pageBreakBefore w:val="0"/>
        <w:widowControl w:val="0"/>
        <w:shd w:val="clear"/>
        <w:kinsoku/>
        <w:wordWrap/>
        <w:overflowPunct/>
        <w:topLinePunct w:val="0"/>
        <w:autoSpaceDE/>
        <w:autoSpaceDN/>
        <w:bidi w:val="0"/>
        <w:adjustRightInd/>
        <w:snapToGrid/>
        <w:ind w:firstLine="0"/>
        <w:jc w:val="center"/>
        <w:textAlignment w:val="auto"/>
        <w:rPr>
          <w:rFonts w:hint="eastAsia" w:ascii="Times New Roman" w:hAnsi="Times New Roman" w:eastAsia="仿宋" w:cs="Times New Roman"/>
          <w:color w:val="auto"/>
          <w:spacing w:val="0"/>
          <w:highlight w:val="none"/>
          <w:lang w:val="en-US" w:eastAsia="zh-CN"/>
        </w:rPr>
      </w:pPr>
      <w:r>
        <w:rPr>
          <w:rFonts w:hint="eastAsia" w:ascii="Times New Roman" w:hAnsi="Times New Roman" w:eastAsia="仿宋" w:cs="Times New Roman"/>
          <w:b/>
          <w:bCs/>
          <w:color w:val="auto"/>
          <w:spacing w:val="0"/>
          <w:sz w:val="32"/>
          <w:highlight w:val="none"/>
          <w:lang w:val="en-US" w:eastAsia="zh-CN"/>
        </w:rPr>
        <w:t>龙南市发展和改革委员会</w:t>
      </w:r>
    </w:p>
    <w:p w14:paraId="3A363CAA">
      <w:pPr>
        <w:keepNext w:val="0"/>
        <w:keepLines w:val="0"/>
        <w:pageBreakBefore w:val="0"/>
        <w:widowControl w:val="0"/>
        <w:shd w:val="clear"/>
        <w:kinsoku/>
        <w:wordWrap/>
        <w:overflowPunct/>
        <w:topLinePunct w:val="0"/>
        <w:autoSpaceDE/>
        <w:autoSpaceDN/>
        <w:bidi w:val="0"/>
        <w:adjustRightInd/>
        <w:snapToGrid/>
        <w:spacing w:line="480" w:lineRule="exact"/>
        <w:ind w:left="0" w:leftChars="0" w:firstLine="0" w:firstLineChars="0"/>
        <w:jc w:val="center"/>
        <w:textAlignment w:val="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二〇</w:t>
      </w:r>
      <w:r>
        <w:rPr>
          <w:rFonts w:hint="eastAsia" w:ascii="仿宋" w:hAnsi="仿宋" w:eastAsia="仿宋" w:cs="仿宋"/>
          <w:b/>
          <w:bCs/>
          <w:color w:val="auto"/>
          <w:sz w:val="32"/>
          <w:szCs w:val="32"/>
          <w:highlight w:val="none"/>
          <w:lang w:val="en-US" w:eastAsia="zh-CN"/>
        </w:rPr>
        <w:t>二二</w:t>
      </w:r>
      <w:r>
        <w:rPr>
          <w:rFonts w:hint="eastAsia" w:ascii="仿宋" w:hAnsi="仿宋" w:eastAsia="仿宋" w:cs="仿宋"/>
          <w:b/>
          <w:bCs/>
          <w:color w:val="auto"/>
          <w:sz w:val="32"/>
          <w:szCs w:val="32"/>
          <w:highlight w:val="none"/>
        </w:rPr>
        <w:t>年</w:t>
      </w:r>
      <w:r>
        <w:rPr>
          <w:rFonts w:hint="eastAsia" w:ascii="仿宋" w:hAnsi="仿宋" w:eastAsia="仿宋" w:cs="仿宋"/>
          <w:b/>
          <w:bCs/>
          <w:color w:val="auto"/>
          <w:sz w:val="32"/>
          <w:szCs w:val="32"/>
          <w:highlight w:val="none"/>
          <w:lang w:val="en-US" w:eastAsia="zh-CN"/>
        </w:rPr>
        <w:t>十一</w:t>
      </w:r>
      <w:r>
        <w:rPr>
          <w:rFonts w:hint="eastAsia" w:ascii="仿宋" w:hAnsi="仿宋" w:eastAsia="仿宋" w:cs="仿宋"/>
          <w:b/>
          <w:bCs/>
          <w:color w:val="auto"/>
          <w:sz w:val="32"/>
          <w:szCs w:val="32"/>
          <w:highlight w:val="none"/>
        </w:rPr>
        <w:t>月</w:t>
      </w:r>
    </w:p>
    <w:p w14:paraId="6C2D4090">
      <w:pPr>
        <w:keepNext w:val="0"/>
        <w:keepLines w:val="0"/>
        <w:pageBreakBefore w:val="0"/>
        <w:widowControl w:val="0"/>
        <w:shd w:val="clear"/>
        <w:kinsoku/>
        <w:wordWrap/>
        <w:overflowPunct/>
        <w:topLinePunct w:val="0"/>
        <w:autoSpaceDE/>
        <w:autoSpaceDN/>
        <w:bidi w:val="0"/>
        <w:adjustRightInd/>
        <w:snapToGrid/>
        <w:spacing w:after="0" w:line="240" w:lineRule="exact"/>
        <w:ind w:left="0" w:leftChars="0" w:firstLine="0" w:firstLineChars="0"/>
        <w:jc w:val="center"/>
        <w:textAlignment w:val="auto"/>
        <w:rPr>
          <w:rFonts w:hint="eastAsia" w:ascii="仿宋" w:hAnsi="仿宋" w:eastAsia="仿宋" w:cs="仿宋"/>
          <w:b/>
          <w:bCs/>
          <w:color w:val="auto"/>
          <w:sz w:val="30"/>
          <w:szCs w:val="30"/>
          <w:highlight w:val="none"/>
        </w:rPr>
      </w:pPr>
    </w:p>
    <w:p w14:paraId="48B8227C">
      <w:pPr>
        <w:keepNext w:val="0"/>
        <w:keepLines w:val="0"/>
        <w:pageBreakBefore w:val="0"/>
        <w:widowControl w:val="0"/>
        <w:shd w:val="clear"/>
        <w:kinsoku/>
        <w:wordWrap/>
        <w:overflowPunct/>
        <w:topLinePunct w:val="0"/>
        <w:autoSpaceDE/>
        <w:autoSpaceDN/>
        <w:bidi w:val="0"/>
        <w:adjustRightInd/>
        <w:snapToGrid/>
        <w:spacing w:after="0" w:line="240" w:lineRule="exact"/>
        <w:ind w:left="0" w:leftChars="0" w:firstLine="0" w:firstLineChars="0"/>
        <w:jc w:val="both"/>
        <w:textAlignment w:val="auto"/>
        <w:rPr>
          <w:rFonts w:hint="eastAsia" w:ascii="仿宋" w:hAnsi="仿宋" w:eastAsia="仿宋" w:cs="仿宋"/>
          <w:b/>
          <w:bCs/>
          <w:color w:val="auto"/>
          <w:sz w:val="30"/>
          <w:szCs w:val="30"/>
          <w:highlight w:val="none"/>
        </w:rPr>
        <w:sectPr>
          <w:pgSz w:w="11906" w:h="16838"/>
          <w:pgMar w:top="1440" w:right="1800" w:bottom="1440" w:left="1800" w:header="851" w:footer="992" w:gutter="0"/>
          <w:pgNumType w:fmt="decimal"/>
          <w:cols w:space="720" w:num="1"/>
          <w:docGrid w:type="lines" w:linePitch="312" w:charSpace="0"/>
        </w:sectPr>
      </w:pPr>
    </w:p>
    <w:p w14:paraId="50373950">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hint="eastAsia" w:ascii="宋体" w:hAnsi="宋体" w:eastAsia="宋体"/>
          <w:b/>
          <w:bCs/>
          <w:color w:val="auto"/>
          <w:sz w:val="28"/>
          <w:szCs w:val="28"/>
          <w:highlight w:val="none"/>
          <w:lang w:eastAsia="zh-CN"/>
        </w:rPr>
      </w:pPr>
      <w:bookmarkStart w:id="0" w:name="_Toc18472"/>
      <w:bookmarkStart w:id="1" w:name="_Toc4616"/>
      <w:bookmarkStart w:id="2" w:name="_Toc25077_WPSOffice_Type2"/>
      <w:r>
        <w:rPr>
          <w:rFonts w:hint="eastAsia" w:ascii="宋体" w:hAnsi="宋体" w:eastAsia="宋体"/>
          <w:b/>
          <w:bCs/>
          <w:color w:val="auto"/>
          <w:sz w:val="28"/>
          <w:szCs w:val="28"/>
          <w:highlight w:val="none"/>
          <w:lang w:eastAsia="zh-CN"/>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-752475</wp:posOffset>
            </wp:positionV>
            <wp:extent cx="7560310" cy="10478770"/>
            <wp:effectExtent l="0" t="0" r="2540" b="17780"/>
            <wp:wrapNone/>
            <wp:docPr id="28" name="图片 28" descr="龙南市十四五国土空间生态修复规划专家论证签名意见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龙南市十四五国土空间生态修复规划专家论证签名意见_页面_1"/>
                    <pic:cNvPicPr>
                      <a:picLocks noChangeAspect="1"/>
                    </pic:cNvPicPr>
                  </pic:nvPicPr>
                  <pic:blipFill>
                    <a:blip r:embed="rId6"/>
                    <a:srcRect t="894" b="1150"/>
                    <a:stretch>
                      <a:fillRect/>
                    </a:stretch>
                  </pic:blipFill>
                  <pic:spPr>
                    <a:xfrm>
                      <a:off x="0" y="0"/>
                      <a:ext cx="7560310" cy="10478770"/>
                    </a:xfrm>
                    <a:prstGeom prst="rect">
                      <a:avLst/>
                    </a:prstGeom>
                  </pic:spPr>
                </pic:pic>
              </a:graphicData>
            </a:graphic>
          </wp:anchor>
        </w:drawing>
      </w:r>
    </w:p>
    <w:p w14:paraId="47C4A7BA">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14:paraId="5ADC3FAF">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14:paraId="3CFFA16C">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sectPr>
          <w:pgSz w:w="11906" w:h="16838"/>
          <w:pgMar w:top="1440" w:right="1800" w:bottom="1440" w:left="1800" w:header="851" w:footer="992" w:gutter="0"/>
          <w:cols w:space="720" w:num="1"/>
          <w:rtlGutter w:val="0"/>
          <w:docGrid w:linePitch="312" w:charSpace="0"/>
        </w:sectPr>
      </w:pPr>
    </w:p>
    <w:p w14:paraId="276C5E90">
      <w:pPr>
        <w:keepNext w:val="0"/>
        <w:keepLines w:val="0"/>
        <w:pageBreakBefore w:val="0"/>
        <w:widowControl w:val="0"/>
        <w:shd w:val="clear"/>
        <w:kinsoku/>
        <w:wordWrap/>
        <w:overflowPunct/>
        <w:topLinePunct w:val="0"/>
        <w:autoSpaceDE/>
        <w:autoSpaceDN/>
        <w:bidi w:val="0"/>
        <w:adjustRightInd/>
        <w:snapToGrid/>
        <w:spacing w:before="0" w:line="240" w:lineRule="atLeast"/>
        <w:ind w:left="0" w:leftChars="0" w:right="0" w:rightChars="0" w:firstLine="0" w:firstLineChars="0"/>
        <w:jc w:val="both"/>
        <w:textAlignment w:val="auto"/>
        <w:outlineLvl w:val="9"/>
        <w:rPr>
          <w:rFonts w:hint="eastAsia" w:ascii="宋体" w:hAnsi="宋体" w:eastAsia="宋体"/>
          <w:b/>
          <w:bCs/>
          <w:color w:val="auto"/>
          <w:sz w:val="28"/>
          <w:szCs w:val="28"/>
          <w:highlight w:val="none"/>
          <w:lang w:eastAsia="zh-CN"/>
        </w:rPr>
      </w:pPr>
      <w:r>
        <w:rPr>
          <w:rFonts w:hint="eastAsia" w:ascii="宋体" w:hAnsi="宋体" w:eastAsia="宋体"/>
          <w:b/>
          <w:bCs/>
          <w:color w:val="auto"/>
          <w:sz w:val="28"/>
          <w:szCs w:val="28"/>
          <w:highlight w:val="none"/>
          <w:lang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-914400</wp:posOffset>
            </wp:positionV>
            <wp:extent cx="7560310" cy="10681970"/>
            <wp:effectExtent l="0" t="0" r="2540" b="5080"/>
            <wp:wrapNone/>
            <wp:docPr id="29" name="图片 29" descr="龙南市十四五国土空间生态修复规划专家论证签名意见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龙南市十四五国土空间生态修复规划专家论证签名意见_页面_2"/>
                    <pic:cNvPicPr>
                      <a:picLocks noChangeAspect="1"/>
                    </pic:cNvPicPr>
                  </pic:nvPicPr>
                  <pic:blipFill>
                    <a:blip r:embed="rId7"/>
                    <a:stretch>
                      <a:fillRect/>
                    </a:stretch>
                  </pic:blipFill>
                  <pic:spPr>
                    <a:xfrm>
                      <a:off x="0" y="0"/>
                      <a:ext cx="7560310" cy="10681970"/>
                    </a:xfrm>
                    <a:prstGeom prst="rect">
                      <a:avLst/>
                    </a:prstGeom>
                  </pic:spPr>
                </pic:pic>
              </a:graphicData>
            </a:graphic>
          </wp:anchor>
        </w:drawing>
      </w:r>
    </w:p>
    <w:p w14:paraId="05997CFC">
      <w:pPr>
        <w:keepNext w:val="0"/>
        <w:keepLines w:val="0"/>
        <w:pageBreakBefore w:val="0"/>
        <w:widowControl w:val="0"/>
        <w:shd w:val="clear"/>
        <w:kinsoku/>
        <w:wordWrap/>
        <w:overflowPunct/>
        <w:topLinePunct w:val="0"/>
        <w:autoSpaceDE/>
        <w:autoSpaceDN/>
        <w:bidi w:val="0"/>
        <w:adjustRightInd/>
        <w:snapToGrid/>
        <w:spacing w:before="0" w:after="313"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14:paraId="3AFF3DF0">
      <w:pPr>
        <w:keepNext w:val="0"/>
        <w:keepLines w:val="0"/>
        <w:pageBreakBefore w:val="0"/>
        <w:widowControl w:val="0"/>
        <w:shd w:val="clear"/>
        <w:kinsoku/>
        <w:wordWrap/>
        <w:overflowPunct/>
        <w:topLinePunct w:val="0"/>
        <w:autoSpaceDE/>
        <w:autoSpaceDN/>
        <w:bidi w:val="0"/>
        <w:adjustRightInd/>
        <w:snapToGrid/>
        <w:spacing w:before="0" w:after="313" w:line="240" w:lineRule="atLeast"/>
        <w:ind w:left="0" w:leftChars="0" w:right="0" w:rightChars="0" w:firstLine="0" w:firstLineChars="0"/>
        <w:jc w:val="both"/>
        <w:textAlignment w:val="auto"/>
        <w:outlineLvl w:val="9"/>
        <w:rPr>
          <w:rFonts w:ascii="宋体" w:hAnsi="宋体" w:eastAsia="宋体"/>
          <w:b/>
          <w:bCs/>
          <w:color w:val="auto"/>
          <w:sz w:val="28"/>
          <w:szCs w:val="28"/>
          <w:highlight w:val="none"/>
        </w:rPr>
      </w:pPr>
    </w:p>
    <w:p w14:paraId="2CF8D0DA">
      <w:pPr>
        <w:pStyle w:val="2"/>
        <w:keepNext w:val="0"/>
        <w:keepLines w:val="0"/>
        <w:pageBreakBefore w:val="0"/>
        <w:widowControl w:val="0"/>
        <w:kinsoku/>
        <w:wordWrap/>
        <w:overflowPunct/>
        <w:topLinePunct w:val="0"/>
        <w:autoSpaceDE/>
        <w:autoSpaceDN/>
        <w:bidi w:val="0"/>
        <w:adjustRightInd/>
        <w:snapToGrid/>
        <w:spacing w:line="240" w:lineRule="atLeast"/>
        <w:ind w:firstLine="0"/>
        <w:jc w:val="both"/>
        <w:textAlignment w:val="auto"/>
        <w:outlineLvl w:val="9"/>
        <w:rPr>
          <w:rFonts w:ascii="宋体" w:hAnsi="宋体" w:eastAsia="宋体"/>
          <w:b/>
          <w:bCs/>
          <w:color w:val="auto"/>
          <w:sz w:val="28"/>
          <w:szCs w:val="28"/>
          <w:highlight w:val="none"/>
        </w:rPr>
      </w:pPr>
    </w:p>
    <w:p w14:paraId="6076C4D7">
      <w:pPr>
        <w:pStyle w:val="2"/>
        <w:keepNext w:val="0"/>
        <w:keepLines w:val="0"/>
        <w:pageBreakBefore w:val="0"/>
        <w:widowControl w:val="0"/>
        <w:kinsoku/>
        <w:wordWrap/>
        <w:overflowPunct/>
        <w:topLinePunct w:val="0"/>
        <w:autoSpaceDE/>
        <w:autoSpaceDN/>
        <w:bidi w:val="0"/>
        <w:adjustRightInd/>
        <w:snapToGrid/>
        <w:spacing w:line="240" w:lineRule="atLeast"/>
        <w:ind w:firstLine="0"/>
        <w:jc w:val="both"/>
        <w:textAlignment w:val="auto"/>
        <w:outlineLvl w:val="9"/>
        <w:rPr>
          <w:rFonts w:ascii="宋体" w:hAnsi="宋体" w:eastAsia="宋体"/>
          <w:b/>
          <w:bCs/>
          <w:color w:val="auto"/>
          <w:sz w:val="28"/>
          <w:szCs w:val="28"/>
          <w:highlight w:val="none"/>
        </w:rPr>
      </w:pPr>
    </w:p>
    <w:p w14:paraId="1E26D2D2">
      <w:pPr>
        <w:pStyle w:val="2"/>
        <w:keepNext w:val="0"/>
        <w:keepLines w:val="0"/>
        <w:pageBreakBefore w:val="0"/>
        <w:widowControl w:val="0"/>
        <w:kinsoku/>
        <w:wordWrap/>
        <w:overflowPunct/>
        <w:topLinePunct w:val="0"/>
        <w:autoSpaceDE/>
        <w:autoSpaceDN/>
        <w:bidi w:val="0"/>
        <w:adjustRightInd/>
        <w:snapToGrid/>
        <w:spacing w:line="240" w:lineRule="atLeast"/>
        <w:ind w:firstLine="0"/>
        <w:jc w:val="both"/>
        <w:textAlignment w:val="auto"/>
        <w:outlineLvl w:val="9"/>
        <w:rPr>
          <w:rFonts w:ascii="宋体" w:hAnsi="宋体" w:eastAsia="宋体"/>
          <w:b/>
          <w:bCs/>
          <w:color w:val="auto"/>
          <w:sz w:val="28"/>
          <w:szCs w:val="28"/>
          <w:highlight w:val="none"/>
        </w:rPr>
      </w:pPr>
    </w:p>
    <w:p w14:paraId="5BEB696F">
      <w:pPr>
        <w:pStyle w:val="2"/>
        <w:keepNext w:val="0"/>
        <w:keepLines w:val="0"/>
        <w:pageBreakBefore w:val="0"/>
        <w:widowControl w:val="0"/>
        <w:kinsoku/>
        <w:wordWrap/>
        <w:overflowPunct/>
        <w:topLinePunct w:val="0"/>
        <w:autoSpaceDE/>
        <w:autoSpaceDN/>
        <w:bidi w:val="0"/>
        <w:adjustRightInd/>
        <w:snapToGrid/>
        <w:spacing w:line="240" w:lineRule="atLeast"/>
        <w:ind w:firstLine="420"/>
        <w:textAlignment w:val="auto"/>
      </w:pPr>
    </w:p>
    <w:p w14:paraId="008FD616">
      <w:pPr>
        <w:pStyle w:val="2"/>
        <w:keepNext w:val="0"/>
        <w:keepLines w:val="0"/>
        <w:pageBreakBefore w:val="0"/>
        <w:widowControl w:val="0"/>
        <w:kinsoku/>
        <w:wordWrap/>
        <w:overflowPunct/>
        <w:topLinePunct w:val="0"/>
        <w:autoSpaceDE/>
        <w:autoSpaceDN/>
        <w:bidi w:val="0"/>
        <w:adjustRightInd/>
        <w:snapToGrid/>
        <w:spacing w:line="240" w:lineRule="atLeast"/>
        <w:ind w:firstLine="420"/>
        <w:textAlignment w:val="auto"/>
        <w:sectPr>
          <w:pgSz w:w="11906" w:h="16838"/>
          <w:pgMar w:top="1440" w:right="1800" w:bottom="1440" w:left="1800" w:header="851" w:footer="992" w:gutter="0"/>
          <w:cols w:space="720" w:num="1"/>
          <w:rtlGutter w:val="0"/>
          <w:docGrid w:linePitch="312" w:charSpace="0"/>
        </w:sectPr>
      </w:pPr>
    </w:p>
    <w:p w14:paraId="6EB35CCD">
      <w:pPr>
        <w:keepNext w:val="0"/>
        <w:keepLines w:val="0"/>
        <w:pageBreakBefore w:val="0"/>
        <w:widowControl w:val="0"/>
        <w:shd w:val="clear"/>
        <w:kinsoku/>
        <w:wordWrap/>
        <w:overflowPunct/>
        <w:topLinePunct w:val="0"/>
        <w:autoSpaceDE/>
        <w:autoSpaceDN/>
        <w:bidi w:val="0"/>
        <w:adjustRightInd/>
        <w:snapToGrid/>
        <w:spacing w:before="0" w:beforeLines="0" w:after="313" w:afterLines="100" w:line="240" w:lineRule="auto"/>
        <w:ind w:left="0" w:leftChars="0" w:right="0" w:rightChars="0" w:firstLine="0" w:firstLineChars="0"/>
        <w:jc w:val="center"/>
        <w:textAlignment w:val="auto"/>
        <w:outlineLvl w:val="0"/>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lang w:val="en-US" w:eastAsia="zh-CN"/>
        </w:rPr>
        <w:t xml:space="preserve"> </w:t>
      </w:r>
      <w:r>
        <w:rPr>
          <w:rFonts w:ascii="宋体" w:hAnsi="宋体" w:eastAsia="宋体"/>
          <w:b/>
          <w:bCs/>
          <w:color w:val="auto"/>
          <w:sz w:val="36"/>
          <w:szCs w:val="36"/>
          <w:highlight w:val="none"/>
        </w:rPr>
        <w:t>录</w:t>
      </w:r>
      <w:bookmarkEnd w:id="0"/>
      <w:bookmarkEnd w:id="1"/>
    </w:p>
    <w:bookmarkEnd w:id="2"/>
    <w:p w14:paraId="29FCD892">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bookmarkStart w:id="3" w:name="_Toc14662_WPSOffice_Level1"/>
      <w:r>
        <w:rPr>
          <w:rFonts w:hint="eastAsia"/>
          <w:b/>
          <w:bCs/>
          <w:color w:val="auto"/>
          <w:sz w:val="28"/>
          <w:szCs w:val="28"/>
          <w:highlight w:val="none"/>
          <w:lang w:val="en-US" w:eastAsia="zh-CN"/>
        </w:rPr>
        <w:fldChar w:fldCharType="begin"/>
      </w:r>
      <w:r>
        <w:rPr>
          <w:rFonts w:hint="eastAsia"/>
          <w:b/>
          <w:bCs/>
          <w:color w:val="auto"/>
          <w:sz w:val="28"/>
          <w:szCs w:val="28"/>
          <w:highlight w:val="none"/>
          <w:lang w:val="en-US" w:eastAsia="zh-CN"/>
        </w:rPr>
        <w:instrText xml:space="preserve">TOC \o "1-2" \h \u </w:instrText>
      </w:r>
      <w:r>
        <w:rPr>
          <w:rFonts w:hint="eastAsia"/>
          <w:b/>
          <w:bCs/>
          <w:color w:val="auto"/>
          <w:sz w:val="28"/>
          <w:szCs w:val="28"/>
          <w:highlight w:val="none"/>
          <w:lang w:val="en-US" w:eastAsia="zh-CN"/>
        </w:rPr>
        <w:fldChar w:fldCharType="separate"/>
      </w: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_Toc3405 </w:instrText>
      </w:r>
      <w:r>
        <w:rPr>
          <w:rFonts w:hint="eastAsia"/>
          <w:bCs/>
          <w:sz w:val="28"/>
          <w:szCs w:val="28"/>
          <w:highlight w:val="none"/>
          <w:lang w:val="en-US" w:eastAsia="zh-CN"/>
        </w:rPr>
        <w:fldChar w:fldCharType="separate"/>
      </w:r>
      <w:r>
        <w:rPr>
          <w:rFonts w:hint="eastAsia"/>
          <w:bCs/>
          <w:sz w:val="28"/>
          <w:szCs w:val="28"/>
          <w:highlight w:val="none"/>
          <w:lang w:val="en-US" w:eastAsia="zh-CN"/>
        </w:rPr>
        <w:t>一、规划编制背景</w:t>
      </w:r>
      <w:r>
        <w:rPr>
          <w:sz w:val="28"/>
          <w:szCs w:val="28"/>
        </w:rPr>
        <w:tab/>
      </w:r>
      <w:r>
        <w:rPr>
          <w:sz w:val="28"/>
          <w:szCs w:val="28"/>
        </w:rPr>
        <w:fldChar w:fldCharType="begin"/>
      </w:r>
      <w:r>
        <w:rPr>
          <w:sz w:val="28"/>
          <w:szCs w:val="28"/>
        </w:rPr>
        <w:instrText xml:space="preserve"> PAGEREF _Toc3405 </w:instrText>
      </w:r>
      <w:r>
        <w:rPr>
          <w:sz w:val="28"/>
          <w:szCs w:val="28"/>
        </w:rPr>
        <w:fldChar w:fldCharType="separate"/>
      </w:r>
      <w:r>
        <w:rPr>
          <w:sz w:val="28"/>
          <w:szCs w:val="28"/>
        </w:rPr>
        <w:t>1</w:t>
      </w:r>
      <w:r>
        <w:rPr>
          <w:sz w:val="28"/>
          <w:szCs w:val="28"/>
        </w:rPr>
        <w:fldChar w:fldCharType="end"/>
      </w:r>
      <w:r>
        <w:rPr>
          <w:rFonts w:hint="eastAsia"/>
          <w:bCs/>
          <w:color w:val="auto"/>
          <w:sz w:val="28"/>
          <w:szCs w:val="28"/>
          <w:highlight w:val="none"/>
          <w:lang w:val="en-US" w:eastAsia="zh-CN"/>
        </w:rPr>
        <w:fldChar w:fldCharType="end"/>
      </w:r>
    </w:p>
    <w:p w14:paraId="29C77D65">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_Toc18195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（一）规划编制意义</w:t>
      </w:r>
      <w:r>
        <w:rPr>
          <w:sz w:val="28"/>
          <w:szCs w:val="28"/>
        </w:rPr>
        <w:tab/>
      </w:r>
      <w:r>
        <w:rPr>
          <w:sz w:val="28"/>
          <w:szCs w:val="28"/>
        </w:rPr>
        <w:fldChar w:fldCharType="begin"/>
      </w:r>
      <w:r>
        <w:rPr>
          <w:sz w:val="28"/>
          <w:szCs w:val="28"/>
        </w:rPr>
        <w:instrText xml:space="preserve"> PAGEREF _Toc18195 </w:instrText>
      </w:r>
      <w:r>
        <w:rPr>
          <w:sz w:val="28"/>
          <w:szCs w:val="28"/>
        </w:rPr>
        <w:fldChar w:fldCharType="separate"/>
      </w:r>
      <w:r>
        <w:rPr>
          <w:sz w:val="28"/>
          <w:szCs w:val="28"/>
        </w:rPr>
        <w:t>1</w:t>
      </w:r>
      <w:r>
        <w:rPr>
          <w:sz w:val="28"/>
          <w:szCs w:val="28"/>
        </w:rPr>
        <w:fldChar w:fldCharType="end"/>
      </w:r>
      <w:r>
        <w:rPr>
          <w:rFonts w:hint="eastAsia"/>
          <w:bCs/>
          <w:color w:val="auto"/>
          <w:sz w:val="28"/>
          <w:szCs w:val="28"/>
          <w:highlight w:val="none"/>
          <w:lang w:val="en-US" w:eastAsia="zh-CN"/>
        </w:rPr>
        <w:fldChar w:fldCharType="end"/>
      </w:r>
    </w:p>
    <w:p w14:paraId="4CC432A1">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_Toc6321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（二）省级层面对规划编制的需求</w:t>
      </w:r>
      <w:r>
        <w:rPr>
          <w:sz w:val="28"/>
          <w:szCs w:val="28"/>
        </w:rPr>
        <w:tab/>
      </w:r>
      <w:r>
        <w:rPr>
          <w:sz w:val="28"/>
          <w:szCs w:val="28"/>
        </w:rPr>
        <w:fldChar w:fldCharType="begin"/>
      </w:r>
      <w:r>
        <w:rPr>
          <w:sz w:val="28"/>
          <w:szCs w:val="28"/>
        </w:rPr>
        <w:instrText xml:space="preserve"> PAGEREF _Toc6321 </w:instrText>
      </w:r>
      <w:r>
        <w:rPr>
          <w:sz w:val="28"/>
          <w:szCs w:val="28"/>
        </w:rPr>
        <w:fldChar w:fldCharType="separate"/>
      </w:r>
      <w:r>
        <w:rPr>
          <w:sz w:val="28"/>
          <w:szCs w:val="28"/>
        </w:rPr>
        <w:t>3</w:t>
      </w:r>
      <w:r>
        <w:rPr>
          <w:sz w:val="28"/>
          <w:szCs w:val="28"/>
        </w:rPr>
        <w:fldChar w:fldCharType="end"/>
      </w:r>
      <w:r>
        <w:rPr>
          <w:rFonts w:hint="eastAsia"/>
          <w:bCs/>
          <w:color w:val="auto"/>
          <w:sz w:val="28"/>
          <w:szCs w:val="28"/>
          <w:highlight w:val="none"/>
          <w:lang w:val="en-US" w:eastAsia="zh-CN"/>
        </w:rPr>
        <w:fldChar w:fldCharType="end"/>
      </w:r>
    </w:p>
    <w:p w14:paraId="03AF4F97">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_Toc25074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（三）市级层面对规划编制的需求</w:t>
      </w:r>
      <w:r>
        <w:rPr>
          <w:sz w:val="28"/>
          <w:szCs w:val="28"/>
        </w:rPr>
        <w:tab/>
      </w:r>
      <w:r>
        <w:rPr>
          <w:sz w:val="28"/>
          <w:szCs w:val="28"/>
        </w:rPr>
        <w:fldChar w:fldCharType="begin"/>
      </w:r>
      <w:r>
        <w:rPr>
          <w:sz w:val="28"/>
          <w:szCs w:val="28"/>
        </w:rPr>
        <w:instrText xml:space="preserve"> PAGEREF _Toc25074 </w:instrText>
      </w:r>
      <w:r>
        <w:rPr>
          <w:sz w:val="28"/>
          <w:szCs w:val="28"/>
        </w:rPr>
        <w:fldChar w:fldCharType="separate"/>
      </w:r>
      <w:r>
        <w:rPr>
          <w:sz w:val="28"/>
          <w:szCs w:val="28"/>
        </w:rPr>
        <w:t>5</w:t>
      </w:r>
      <w:r>
        <w:rPr>
          <w:sz w:val="28"/>
          <w:szCs w:val="28"/>
        </w:rPr>
        <w:fldChar w:fldCharType="end"/>
      </w:r>
      <w:r>
        <w:rPr>
          <w:rFonts w:hint="eastAsia"/>
          <w:bCs/>
          <w:color w:val="auto"/>
          <w:sz w:val="28"/>
          <w:szCs w:val="28"/>
          <w:highlight w:val="none"/>
          <w:lang w:val="en-US" w:eastAsia="zh-CN"/>
        </w:rPr>
        <w:fldChar w:fldCharType="end"/>
      </w:r>
    </w:p>
    <w:p w14:paraId="3EE6B9B9">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_Toc23314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（四）县（区、市）级层面对规划编制的需求</w:t>
      </w:r>
      <w:r>
        <w:rPr>
          <w:sz w:val="28"/>
          <w:szCs w:val="28"/>
        </w:rPr>
        <w:tab/>
      </w:r>
      <w:r>
        <w:rPr>
          <w:sz w:val="28"/>
          <w:szCs w:val="28"/>
        </w:rPr>
        <w:fldChar w:fldCharType="begin"/>
      </w:r>
      <w:r>
        <w:rPr>
          <w:sz w:val="28"/>
          <w:szCs w:val="28"/>
        </w:rPr>
        <w:instrText xml:space="preserve"> PAGEREF _Toc23314 </w:instrText>
      </w:r>
      <w:r>
        <w:rPr>
          <w:sz w:val="28"/>
          <w:szCs w:val="28"/>
        </w:rPr>
        <w:fldChar w:fldCharType="separate"/>
      </w:r>
      <w:r>
        <w:rPr>
          <w:sz w:val="28"/>
          <w:szCs w:val="28"/>
        </w:rPr>
        <w:t>6</w:t>
      </w:r>
      <w:r>
        <w:rPr>
          <w:sz w:val="28"/>
          <w:szCs w:val="28"/>
        </w:rPr>
        <w:fldChar w:fldCharType="end"/>
      </w:r>
      <w:r>
        <w:rPr>
          <w:rFonts w:hint="eastAsia"/>
          <w:bCs/>
          <w:color w:val="auto"/>
          <w:sz w:val="28"/>
          <w:szCs w:val="28"/>
          <w:highlight w:val="none"/>
          <w:lang w:val="en-US" w:eastAsia="zh-CN"/>
        </w:rPr>
        <w:fldChar w:fldCharType="end"/>
      </w:r>
    </w:p>
    <w:p w14:paraId="7E86066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_Toc893 </w:instrText>
      </w:r>
      <w:r>
        <w:rPr>
          <w:rFonts w:hint="eastAsia"/>
          <w:bCs/>
          <w:sz w:val="28"/>
          <w:szCs w:val="28"/>
          <w:highlight w:val="none"/>
          <w:lang w:val="en-US" w:eastAsia="zh-CN"/>
        </w:rPr>
        <w:fldChar w:fldCharType="separate"/>
      </w:r>
      <w:r>
        <w:rPr>
          <w:rFonts w:hint="eastAsia"/>
          <w:bCs/>
          <w:sz w:val="28"/>
          <w:szCs w:val="28"/>
          <w:highlight w:val="none"/>
          <w:lang w:val="en-US" w:eastAsia="zh-CN"/>
        </w:rPr>
        <w:t>二、规划编制过程</w:t>
      </w:r>
      <w:r>
        <w:rPr>
          <w:sz w:val="28"/>
          <w:szCs w:val="28"/>
        </w:rPr>
        <w:tab/>
      </w:r>
      <w:r>
        <w:rPr>
          <w:sz w:val="28"/>
          <w:szCs w:val="28"/>
        </w:rPr>
        <w:fldChar w:fldCharType="begin"/>
      </w:r>
      <w:r>
        <w:rPr>
          <w:sz w:val="28"/>
          <w:szCs w:val="28"/>
        </w:rPr>
        <w:instrText xml:space="preserve"> PAGEREF _Toc893 </w:instrText>
      </w:r>
      <w:r>
        <w:rPr>
          <w:sz w:val="28"/>
          <w:szCs w:val="28"/>
        </w:rPr>
        <w:fldChar w:fldCharType="separate"/>
      </w:r>
      <w:r>
        <w:rPr>
          <w:sz w:val="28"/>
          <w:szCs w:val="28"/>
        </w:rPr>
        <w:t>10</w:t>
      </w:r>
      <w:r>
        <w:rPr>
          <w:sz w:val="28"/>
          <w:szCs w:val="28"/>
        </w:rPr>
        <w:fldChar w:fldCharType="end"/>
      </w:r>
      <w:r>
        <w:rPr>
          <w:rFonts w:hint="eastAsia"/>
          <w:bCs/>
          <w:color w:val="auto"/>
          <w:sz w:val="28"/>
          <w:szCs w:val="28"/>
          <w:highlight w:val="none"/>
          <w:lang w:val="en-US" w:eastAsia="zh-CN"/>
        </w:rPr>
        <w:fldChar w:fldCharType="end"/>
      </w:r>
    </w:p>
    <w:p w14:paraId="3074B06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_Toc22412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（一）编制依据</w:t>
      </w:r>
      <w:r>
        <w:rPr>
          <w:sz w:val="28"/>
          <w:szCs w:val="28"/>
        </w:rPr>
        <w:tab/>
      </w:r>
      <w:r>
        <w:rPr>
          <w:sz w:val="28"/>
          <w:szCs w:val="28"/>
        </w:rPr>
        <w:fldChar w:fldCharType="begin"/>
      </w:r>
      <w:r>
        <w:rPr>
          <w:sz w:val="28"/>
          <w:szCs w:val="28"/>
        </w:rPr>
        <w:instrText xml:space="preserve"> PAGEREF _Toc22412 </w:instrText>
      </w:r>
      <w:r>
        <w:rPr>
          <w:sz w:val="28"/>
          <w:szCs w:val="28"/>
        </w:rPr>
        <w:fldChar w:fldCharType="separate"/>
      </w:r>
      <w:r>
        <w:rPr>
          <w:sz w:val="28"/>
          <w:szCs w:val="28"/>
        </w:rPr>
        <w:t>10</w:t>
      </w:r>
      <w:r>
        <w:rPr>
          <w:sz w:val="28"/>
          <w:szCs w:val="28"/>
        </w:rPr>
        <w:fldChar w:fldCharType="end"/>
      </w:r>
      <w:r>
        <w:rPr>
          <w:rFonts w:hint="eastAsia"/>
          <w:bCs/>
          <w:color w:val="auto"/>
          <w:sz w:val="28"/>
          <w:szCs w:val="28"/>
          <w:highlight w:val="none"/>
          <w:lang w:val="en-US" w:eastAsia="zh-CN"/>
        </w:rPr>
        <w:fldChar w:fldCharType="end"/>
      </w:r>
    </w:p>
    <w:p w14:paraId="1907E074">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_Toc6493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（二）编制原则</w:t>
      </w:r>
      <w:r>
        <w:rPr>
          <w:sz w:val="28"/>
          <w:szCs w:val="28"/>
        </w:rPr>
        <w:tab/>
      </w:r>
      <w:r>
        <w:rPr>
          <w:sz w:val="28"/>
          <w:szCs w:val="28"/>
        </w:rPr>
        <w:fldChar w:fldCharType="begin"/>
      </w:r>
      <w:r>
        <w:rPr>
          <w:sz w:val="28"/>
          <w:szCs w:val="28"/>
        </w:rPr>
        <w:instrText xml:space="preserve"> PAGEREF _Toc6493 </w:instrText>
      </w:r>
      <w:r>
        <w:rPr>
          <w:sz w:val="28"/>
          <w:szCs w:val="28"/>
        </w:rPr>
        <w:fldChar w:fldCharType="separate"/>
      </w:r>
      <w:r>
        <w:rPr>
          <w:sz w:val="28"/>
          <w:szCs w:val="28"/>
        </w:rPr>
        <w:t>17</w:t>
      </w:r>
      <w:r>
        <w:rPr>
          <w:sz w:val="28"/>
          <w:szCs w:val="28"/>
        </w:rPr>
        <w:fldChar w:fldCharType="end"/>
      </w:r>
      <w:r>
        <w:rPr>
          <w:rFonts w:hint="eastAsia"/>
          <w:bCs/>
          <w:color w:val="auto"/>
          <w:sz w:val="28"/>
          <w:szCs w:val="28"/>
          <w:highlight w:val="none"/>
          <w:lang w:val="en-US" w:eastAsia="zh-CN"/>
        </w:rPr>
        <w:fldChar w:fldCharType="end"/>
      </w:r>
    </w:p>
    <w:p w14:paraId="15542BD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_Toc26656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（三）编制过程</w:t>
      </w:r>
      <w:r>
        <w:rPr>
          <w:sz w:val="28"/>
          <w:szCs w:val="28"/>
        </w:rPr>
        <w:tab/>
      </w:r>
      <w:r>
        <w:rPr>
          <w:sz w:val="28"/>
          <w:szCs w:val="28"/>
        </w:rPr>
        <w:fldChar w:fldCharType="begin"/>
      </w:r>
      <w:r>
        <w:rPr>
          <w:sz w:val="28"/>
          <w:szCs w:val="28"/>
        </w:rPr>
        <w:instrText xml:space="preserve"> PAGEREF _Toc26656 </w:instrText>
      </w:r>
      <w:r>
        <w:rPr>
          <w:sz w:val="28"/>
          <w:szCs w:val="28"/>
        </w:rPr>
        <w:fldChar w:fldCharType="separate"/>
      </w:r>
      <w:r>
        <w:rPr>
          <w:sz w:val="28"/>
          <w:szCs w:val="28"/>
        </w:rPr>
        <w:t>18</w:t>
      </w:r>
      <w:r>
        <w:rPr>
          <w:sz w:val="28"/>
          <w:szCs w:val="28"/>
        </w:rPr>
        <w:fldChar w:fldCharType="end"/>
      </w:r>
      <w:r>
        <w:rPr>
          <w:rFonts w:hint="eastAsia"/>
          <w:bCs/>
          <w:color w:val="auto"/>
          <w:sz w:val="28"/>
          <w:szCs w:val="28"/>
          <w:highlight w:val="none"/>
          <w:lang w:val="en-US" w:eastAsia="zh-CN"/>
        </w:rPr>
        <w:fldChar w:fldCharType="end"/>
      </w:r>
    </w:p>
    <w:p w14:paraId="1BF4115A">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_Toc5282 </w:instrText>
      </w:r>
      <w:r>
        <w:rPr>
          <w:rFonts w:hint="eastAsia"/>
          <w:bCs/>
          <w:sz w:val="28"/>
          <w:szCs w:val="28"/>
          <w:highlight w:val="none"/>
          <w:lang w:val="en-US" w:eastAsia="zh-CN"/>
        </w:rPr>
        <w:fldChar w:fldCharType="separate"/>
      </w:r>
      <w:r>
        <w:rPr>
          <w:rFonts w:hint="eastAsia"/>
          <w:bCs/>
          <w:sz w:val="28"/>
          <w:szCs w:val="28"/>
          <w:highlight w:val="none"/>
          <w:lang w:val="en-US" w:eastAsia="zh-CN"/>
        </w:rPr>
        <w:t>三、规划基础数据</w:t>
      </w:r>
      <w:r>
        <w:rPr>
          <w:sz w:val="28"/>
          <w:szCs w:val="28"/>
        </w:rPr>
        <w:tab/>
      </w:r>
      <w:r>
        <w:rPr>
          <w:sz w:val="28"/>
          <w:szCs w:val="28"/>
        </w:rPr>
        <w:fldChar w:fldCharType="begin"/>
      </w:r>
      <w:r>
        <w:rPr>
          <w:sz w:val="28"/>
          <w:szCs w:val="28"/>
        </w:rPr>
        <w:instrText xml:space="preserve"> PAGEREF _Toc5282 </w:instrText>
      </w:r>
      <w:r>
        <w:rPr>
          <w:sz w:val="28"/>
          <w:szCs w:val="28"/>
        </w:rPr>
        <w:fldChar w:fldCharType="separate"/>
      </w:r>
      <w:r>
        <w:rPr>
          <w:sz w:val="28"/>
          <w:szCs w:val="28"/>
        </w:rPr>
        <w:t>25</w:t>
      </w:r>
      <w:r>
        <w:rPr>
          <w:sz w:val="28"/>
          <w:szCs w:val="28"/>
        </w:rPr>
        <w:fldChar w:fldCharType="end"/>
      </w:r>
      <w:r>
        <w:rPr>
          <w:rFonts w:hint="eastAsia"/>
          <w:bCs/>
          <w:color w:val="auto"/>
          <w:sz w:val="28"/>
          <w:szCs w:val="28"/>
          <w:highlight w:val="none"/>
          <w:lang w:val="en-US" w:eastAsia="zh-CN"/>
        </w:rPr>
        <w:fldChar w:fldCharType="end"/>
      </w:r>
    </w:p>
    <w:p w14:paraId="2F935AD9">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_Toc1129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（一）基础数据、来源及用途说明</w:t>
      </w:r>
      <w:r>
        <w:rPr>
          <w:sz w:val="28"/>
          <w:szCs w:val="28"/>
        </w:rPr>
        <w:tab/>
      </w:r>
      <w:r>
        <w:rPr>
          <w:sz w:val="28"/>
          <w:szCs w:val="28"/>
        </w:rPr>
        <w:fldChar w:fldCharType="begin"/>
      </w:r>
      <w:r>
        <w:rPr>
          <w:sz w:val="28"/>
          <w:szCs w:val="28"/>
        </w:rPr>
        <w:instrText xml:space="preserve"> PAGEREF _Toc1129 </w:instrText>
      </w:r>
      <w:r>
        <w:rPr>
          <w:sz w:val="28"/>
          <w:szCs w:val="28"/>
        </w:rPr>
        <w:fldChar w:fldCharType="separate"/>
      </w:r>
      <w:r>
        <w:rPr>
          <w:sz w:val="28"/>
          <w:szCs w:val="28"/>
        </w:rPr>
        <w:t>25</w:t>
      </w:r>
      <w:r>
        <w:rPr>
          <w:sz w:val="28"/>
          <w:szCs w:val="28"/>
        </w:rPr>
        <w:fldChar w:fldCharType="end"/>
      </w:r>
      <w:r>
        <w:rPr>
          <w:rFonts w:hint="eastAsia"/>
          <w:bCs/>
          <w:color w:val="auto"/>
          <w:sz w:val="28"/>
          <w:szCs w:val="28"/>
          <w:highlight w:val="none"/>
          <w:lang w:val="en-US" w:eastAsia="zh-CN"/>
        </w:rPr>
        <w:fldChar w:fldCharType="end"/>
      </w:r>
    </w:p>
    <w:p w14:paraId="5790C11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_Toc22050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（二）基础图件编制说明</w:t>
      </w:r>
      <w:r>
        <w:rPr>
          <w:sz w:val="28"/>
          <w:szCs w:val="28"/>
        </w:rPr>
        <w:tab/>
      </w:r>
      <w:r>
        <w:rPr>
          <w:sz w:val="28"/>
          <w:szCs w:val="28"/>
        </w:rPr>
        <w:fldChar w:fldCharType="begin"/>
      </w:r>
      <w:r>
        <w:rPr>
          <w:sz w:val="28"/>
          <w:szCs w:val="28"/>
        </w:rPr>
        <w:instrText xml:space="preserve"> PAGEREF _Toc22050 </w:instrText>
      </w:r>
      <w:r>
        <w:rPr>
          <w:sz w:val="28"/>
          <w:szCs w:val="28"/>
        </w:rPr>
        <w:fldChar w:fldCharType="separate"/>
      </w:r>
      <w:r>
        <w:rPr>
          <w:sz w:val="28"/>
          <w:szCs w:val="28"/>
        </w:rPr>
        <w:t>29</w:t>
      </w:r>
      <w:r>
        <w:rPr>
          <w:sz w:val="28"/>
          <w:szCs w:val="28"/>
        </w:rPr>
        <w:fldChar w:fldCharType="end"/>
      </w:r>
      <w:r>
        <w:rPr>
          <w:rFonts w:hint="eastAsia"/>
          <w:bCs/>
          <w:color w:val="auto"/>
          <w:sz w:val="28"/>
          <w:szCs w:val="28"/>
          <w:highlight w:val="none"/>
          <w:lang w:val="en-US" w:eastAsia="zh-CN"/>
        </w:rPr>
        <w:fldChar w:fldCharType="end"/>
      </w:r>
    </w:p>
    <w:p w14:paraId="0D9CDCE4">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_Toc15103 </w:instrText>
      </w:r>
      <w:r>
        <w:rPr>
          <w:rFonts w:hint="eastAsia"/>
          <w:bCs/>
          <w:sz w:val="28"/>
          <w:szCs w:val="28"/>
          <w:highlight w:val="none"/>
          <w:lang w:val="en-US" w:eastAsia="zh-CN"/>
        </w:rPr>
        <w:fldChar w:fldCharType="separate"/>
      </w:r>
      <w:r>
        <w:rPr>
          <w:rFonts w:hint="eastAsia"/>
          <w:bCs/>
          <w:sz w:val="28"/>
          <w:szCs w:val="28"/>
          <w:highlight w:val="none"/>
          <w:lang w:val="en-US" w:eastAsia="zh-CN"/>
        </w:rPr>
        <w:t>四、规划目标设置依据及指标说明</w:t>
      </w:r>
      <w:r>
        <w:rPr>
          <w:sz w:val="28"/>
          <w:szCs w:val="28"/>
        </w:rPr>
        <w:tab/>
      </w:r>
      <w:r>
        <w:rPr>
          <w:sz w:val="28"/>
          <w:szCs w:val="28"/>
        </w:rPr>
        <w:fldChar w:fldCharType="begin"/>
      </w:r>
      <w:r>
        <w:rPr>
          <w:sz w:val="28"/>
          <w:szCs w:val="28"/>
        </w:rPr>
        <w:instrText xml:space="preserve"> PAGEREF _Toc15103 </w:instrText>
      </w:r>
      <w:r>
        <w:rPr>
          <w:sz w:val="28"/>
          <w:szCs w:val="28"/>
        </w:rPr>
        <w:fldChar w:fldCharType="separate"/>
      </w:r>
      <w:r>
        <w:rPr>
          <w:sz w:val="28"/>
          <w:szCs w:val="28"/>
        </w:rPr>
        <w:t>31</w:t>
      </w:r>
      <w:r>
        <w:rPr>
          <w:sz w:val="28"/>
          <w:szCs w:val="28"/>
        </w:rPr>
        <w:fldChar w:fldCharType="end"/>
      </w:r>
      <w:r>
        <w:rPr>
          <w:rFonts w:hint="eastAsia"/>
          <w:bCs/>
          <w:color w:val="auto"/>
          <w:sz w:val="28"/>
          <w:szCs w:val="28"/>
          <w:highlight w:val="none"/>
          <w:lang w:val="en-US" w:eastAsia="zh-CN"/>
        </w:rPr>
        <w:fldChar w:fldCharType="end"/>
      </w:r>
    </w:p>
    <w:p w14:paraId="57BB9C1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_Toc1729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（一）目标设置依据</w:t>
      </w:r>
      <w:r>
        <w:rPr>
          <w:sz w:val="28"/>
          <w:szCs w:val="28"/>
        </w:rPr>
        <w:tab/>
      </w:r>
      <w:r>
        <w:rPr>
          <w:sz w:val="28"/>
          <w:szCs w:val="28"/>
        </w:rPr>
        <w:fldChar w:fldCharType="begin"/>
      </w:r>
      <w:r>
        <w:rPr>
          <w:sz w:val="28"/>
          <w:szCs w:val="28"/>
        </w:rPr>
        <w:instrText xml:space="preserve"> PAGEREF _Toc1729 </w:instrText>
      </w:r>
      <w:r>
        <w:rPr>
          <w:sz w:val="28"/>
          <w:szCs w:val="28"/>
        </w:rPr>
        <w:fldChar w:fldCharType="separate"/>
      </w:r>
      <w:r>
        <w:rPr>
          <w:sz w:val="28"/>
          <w:szCs w:val="28"/>
        </w:rPr>
        <w:t>31</w:t>
      </w:r>
      <w:r>
        <w:rPr>
          <w:sz w:val="28"/>
          <w:szCs w:val="28"/>
        </w:rPr>
        <w:fldChar w:fldCharType="end"/>
      </w:r>
      <w:r>
        <w:rPr>
          <w:rFonts w:hint="eastAsia"/>
          <w:bCs/>
          <w:color w:val="auto"/>
          <w:sz w:val="28"/>
          <w:szCs w:val="28"/>
          <w:highlight w:val="none"/>
          <w:lang w:val="en-US" w:eastAsia="zh-CN"/>
        </w:rPr>
        <w:fldChar w:fldCharType="end"/>
      </w:r>
    </w:p>
    <w:p w14:paraId="5188D93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_Toc23324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（二）主要指标设置说明</w:t>
      </w:r>
      <w:r>
        <w:rPr>
          <w:sz w:val="28"/>
          <w:szCs w:val="28"/>
        </w:rPr>
        <w:tab/>
      </w:r>
      <w:r>
        <w:rPr>
          <w:sz w:val="28"/>
          <w:szCs w:val="28"/>
        </w:rPr>
        <w:fldChar w:fldCharType="begin"/>
      </w:r>
      <w:r>
        <w:rPr>
          <w:sz w:val="28"/>
          <w:szCs w:val="28"/>
        </w:rPr>
        <w:instrText xml:space="preserve"> PAGEREF _Toc23324 </w:instrText>
      </w:r>
      <w:r>
        <w:rPr>
          <w:sz w:val="28"/>
          <w:szCs w:val="28"/>
        </w:rPr>
        <w:fldChar w:fldCharType="separate"/>
      </w:r>
      <w:r>
        <w:rPr>
          <w:sz w:val="28"/>
          <w:szCs w:val="28"/>
        </w:rPr>
        <w:t>31</w:t>
      </w:r>
      <w:r>
        <w:rPr>
          <w:sz w:val="28"/>
          <w:szCs w:val="28"/>
        </w:rPr>
        <w:fldChar w:fldCharType="end"/>
      </w:r>
      <w:r>
        <w:rPr>
          <w:rFonts w:hint="eastAsia"/>
          <w:bCs/>
          <w:color w:val="auto"/>
          <w:sz w:val="28"/>
          <w:szCs w:val="28"/>
          <w:highlight w:val="none"/>
          <w:lang w:val="en-US" w:eastAsia="zh-CN"/>
        </w:rPr>
        <w:fldChar w:fldCharType="end"/>
      </w:r>
    </w:p>
    <w:p w14:paraId="2F5A1C5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_Toc790 </w:instrText>
      </w:r>
      <w:r>
        <w:rPr>
          <w:rFonts w:hint="eastAsia"/>
          <w:bCs/>
          <w:sz w:val="28"/>
          <w:szCs w:val="28"/>
          <w:highlight w:val="none"/>
          <w:lang w:val="en-US" w:eastAsia="zh-CN"/>
        </w:rPr>
        <w:fldChar w:fldCharType="separate"/>
      </w:r>
      <w:r>
        <w:rPr>
          <w:rFonts w:hint="eastAsia"/>
          <w:bCs/>
          <w:sz w:val="28"/>
          <w:szCs w:val="28"/>
          <w:highlight w:val="none"/>
          <w:lang w:val="en-US" w:eastAsia="zh-CN"/>
        </w:rPr>
        <w:t>五、生态修复分区</w:t>
      </w:r>
      <w:r>
        <w:rPr>
          <w:sz w:val="28"/>
          <w:szCs w:val="28"/>
        </w:rPr>
        <w:tab/>
      </w:r>
      <w:r>
        <w:rPr>
          <w:sz w:val="28"/>
          <w:szCs w:val="28"/>
        </w:rPr>
        <w:fldChar w:fldCharType="begin"/>
      </w:r>
      <w:r>
        <w:rPr>
          <w:sz w:val="28"/>
          <w:szCs w:val="28"/>
        </w:rPr>
        <w:instrText xml:space="preserve"> PAGEREF _Toc790 </w:instrText>
      </w:r>
      <w:r>
        <w:rPr>
          <w:sz w:val="28"/>
          <w:szCs w:val="28"/>
        </w:rPr>
        <w:fldChar w:fldCharType="separate"/>
      </w:r>
      <w:r>
        <w:rPr>
          <w:sz w:val="28"/>
          <w:szCs w:val="28"/>
        </w:rPr>
        <w:t>34</w:t>
      </w:r>
      <w:r>
        <w:rPr>
          <w:sz w:val="28"/>
          <w:szCs w:val="28"/>
        </w:rPr>
        <w:fldChar w:fldCharType="end"/>
      </w:r>
      <w:r>
        <w:rPr>
          <w:rFonts w:hint="eastAsia"/>
          <w:bCs/>
          <w:color w:val="auto"/>
          <w:sz w:val="28"/>
          <w:szCs w:val="28"/>
          <w:highlight w:val="none"/>
          <w:lang w:val="en-US" w:eastAsia="zh-CN"/>
        </w:rPr>
        <w:fldChar w:fldCharType="end"/>
      </w:r>
    </w:p>
    <w:p w14:paraId="36ECDCB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_Toc30778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（一）分区划分原则</w:t>
      </w:r>
      <w:r>
        <w:rPr>
          <w:sz w:val="28"/>
          <w:szCs w:val="28"/>
        </w:rPr>
        <w:tab/>
      </w:r>
      <w:r>
        <w:rPr>
          <w:sz w:val="28"/>
          <w:szCs w:val="28"/>
        </w:rPr>
        <w:fldChar w:fldCharType="begin"/>
      </w:r>
      <w:r>
        <w:rPr>
          <w:sz w:val="28"/>
          <w:szCs w:val="28"/>
        </w:rPr>
        <w:instrText xml:space="preserve"> PAGEREF _Toc30778 </w:instrText>
      </w:r>
      <w:r>
        <w:rPr>
          <w:sz w:val="28"/>
          <w:szCs w:val="28"/>
        </w:rPr>
        <w:fldChar w:fldCharType="separate"/>
      </w:r>
      <w:r>
        <w:rPr>
          <w:sz w:val="28"/>
          <w:szCs w:val="28"/>
        </w:rPr>
        <w:t>34</w:t>
      </w:r>
      <w:r>
        <w:rPr>
          <w:sz w:val="28"/>
          <w:szCs w:val="28"/>
        </w:rPr>
        <w:fldChar w:fldCharType="end"/>
      </w:r>
      <w:r>
        <w:rPr>
          <w:rFonts w:hint="eastAsia"/>
          <w:bCs/>
          <w:color w:val="auto"/>
          <w:sz w:val="28"/>
          <w:szCs w:val="28"/>
          <w:highlight w:val="none"/>
          <w:lang w:val="en-US" w:eastAsia="zh-CN"/>
        </w:rPr>
        <w:fldChar w:fldCharType="end"/>
      </w:r>
    </w:p>
    <w:p w14:paraId="6C423EB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_Toc32001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（二）分区依据与方法</w:t>
      </w:r>
      <w:r>
        <w:rPr>
          <w:sz w:val="28"/>
          <w:szCs w:val="28"/>
        </w:rPr>
        <w:tab/>
      </w:r>
      <w:r>
        <w:rPr>
          <w:sz w:val="28"/>
          <w:szCs w:val="28"/>
        </w:rPr>
        <w:fldChar w:fldCharType="begin"/>
      </w:r>
      <w:r>
        <w:rPr>
          <w:sz w:val="28"/>
          <w:szCs w:val="28"/>
        </w:rPr>
        <w:instrText xml:space="preserve"> PAGEREF _Toc32001 </w:instrText>
      </w:r>
      <w:r>
        <w:rPr>
          <w:sz w:val="28"/>
          <w:szCs w:val="28"/>
        </w:rPr>
        <w:fldChar w:fldCharType="separate"/>
      </w:r>
      <w:r>
        <w:rPr>
          <w:sz w:val="28"/>
          <w:szCs w:val="28"/>
        </w:rPr>
        <w:t>35</w:t>
      </w:r>
      <w:r>
        <w:rPr>
          <w:sz w:val="28"/>
          <w:szCs w:val="28"/>
        </w:rPr>
        <w:fldChar w:fldCharType="end"/>
      </w:r>
      <w:r>
        <w:rPr>
          <w:rFonts w:hint="eastAsia"/>
          <w:bCs/>
          <w:color w:val="auto"/>
          <w:sz w:val="28"/>
          <w:szCs w:val="28"/>
          <w:highlight w:val="none"/>
          <w:lang w:val="en-US" w:eastAsia="zh-CN"/>
        </w:rPr>
        <w:fldChar w:fldCharType="end"/>
      </w:r>
    </w:p>
    <w:p w14:paraId="2DC9627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_Toc32706 </w:instrText>
      </w:r>
      <w:r>
        <w:rPr>
          <w:rFonts w:hint="eastAsia"/>
          <w:bCs/>
          <w:sz w:val="28"/>
          <w:szCs w:val="28"/>
          <w:highlight w:val="none"/>
          <w:lang w:val="en-US" w:eastAsia="zh-CN"/>
        </w:rPr>
        <w:fldChar w:fldCharType="separate"/>
      </w:r>
      <w:r>
        <w:rPr>
          <w:rFonts w:hint="eastAsia"/>
          <w:bCs/>
          <w:sz w:val="28"/>
          <w:szCs w:val="28"/>
          <w:highlight w:val="none"/>
          <w:lang w:val="en-US" w:eastAsia="zh-CN"/>
        </w:rPr>
        <w:t>六、重点任务安排依据与说明</w:t>
      </w:r>
      <w:r>
        <w:rPr>
          <w:sz w:val="28"/>
          <w:szCs w:val="28"/>
        </w:rPr>
        <w:tab/>
      </w:r>
      <w:r>
        <w:rPr>
          <w:sz w:val="28"/>
          <w:szCs w:val="28"/>
        </w:rPr>
        <w:fldChar w:fldCharType="begin"/>
      </w:r>
      <w:r>
        <w:rPr>
          <w:sz w:val="28"/>
          <w:szCs w:val="28"/>
        </w:rPr>
        <w:instrText xml:space="preserve"> PAGEREF _Toc32706 </w:instrText>
      </w:r>
      <w:r>
        <w:rPr>
          <w:sz w:val="28"/>
          <w:szCs w:val="28"/>
        </w:rPr>
        <w:fldChar w:fldCharType="separate"/>
      </w:r>
      <w:r>
        <w:rPr>
          <w:sz w:val="28"/>
          <w:szCs w:val="28"/>
        </w:rPr>
        <w:t>38</w:t>
      </w:r>
      <w:r>
        <w:rPr>
          <w:sz w:val="28"/>
          <w:szCs w:val="28"/>
        </w:rPr>
        <w:fldChar w:fldCharType="end"/>
      </w:r>
      <w:r>
        <w:rPr>
          <w:rFonts w:hint="eastAsia"/>
          <w:bCs/>
          <w:color w:val="auto"/>
          <w:sz w:val="28"/>
          <w:szCs w:val="28"/>
          <w:highlight w:val="none"/>
          <w:lang w:val="en-US" w:eastAsia="zh-CN"/>
        </w:rPr>
        <w:fldChar w:fldCharType="end"/>
      </w:r>
    </w:p>
    <w:p w14:paraId="1739D56A">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_Toc19250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（一）重点任务安排依据</w:t>
      </w:r>
      <w:r>
        <w:rPr>
          <w:sz w:val="28"/>
          <w:szCs w:val="28"/>
        </w:rPr>
        <w:tab/>
      </w:r>
      <w:r>
        <w:rPr>
          <w:sz w:val="28"/>
          <w:szCs w:val="28"/>
        </w:rPr>
        <w:fldChar w:fldCharType="begin"/>
      </w:r>
      <w:r>
        <w:rPr>
          <w:sz w:val="28"/>
          <w:szCs w:val="28"/>
        </w:rPr>
        <w:instrText xml:space="preserve"> PAGEREF _Toc19250 </w:instrText>
      </w:r>
      <w:r>
        <w:rPr>
          <w:sz w:val="28"/>
          <w:szCs w:val="28"/>
        </w:rPr>
        <w:fldChar w:fldCharType="separate"/>
      </w:r>
      <w:r>
        <w:rPr>
          <w:sz w:val="28"/>
          <w:szCs w:val="28"/>
        </w:rPr>
        <w:t>38</w:t>
      </w:r>
      <w:r>
        <w:rPr>
          <w:sz w:val="28"/>
          <w:szCs w:val="28"/>
        </w:rPr>
        <w:fldChar w:fldCharType="end"/>
      </w:r>
      <w:r>
        <w:rPr>
          <w:rFonts w:hint="eastAsia"/>
          <w:bCs/>
          <w:color w:val="auto"/>
          <w:sz w:val="28"/>
          <w:szCs w:val="28"/>
          <w:highlight w:val="none"/>
          <w:lang w:val="en-US" w:eastAsia="zh-CN"/>
        </w:rPr>
        <w:fldChar w:fldCharType="end"/>
      </w:r>
    </w:p>
    <w:p w14:paraId="254AC621">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_Toc6398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（二）重点任务安排说明</w:t>
      </w:r>
      <w:r>
        <w:rPr>
          <w:sz w:val="28"/>
          <w:szCs w:val="28"/>
        </w:rPr>
        <w:tab/>
      </w:r>
      <w:r>
        <w:rPr>
          <w:sz w:val="28"/>
          <w:szCs w:val="28"/>
        </w:rPr>
        <w:fldChar w:fldCharType="begin"/>
      </w:r>
      <w:r>
        <w:rPr>
          <w:sz w:val="28"/>
          <w:szCs w:val="28"/>
        </w:rPr>
        <w:instrText xml:space="preserve"> PAGEREF _Toc6398 </w:instrText>
      </w:r>
      <w:r>
        <w:rPr>
          <w:sz w:val="28"/>
          <w:szCs w:val="28"/>
        </w:rPr>
        <w:fldChar w:fldCharType="separate"/>
      </w:r>
      <w:r>
        <w:rPr>
          <w:sz w:val="28"/>
          <w:szCs w:val="28"/>
        </w:rPr>
        <w:t>38</w:t>
      </w:r>
      <w:r>
        <w:rPr>
          <w:sz w:val="28"/>
          <w:szCs w:val="28"/>
        </w:rPr>
        <w:fldChar w:fldCharType="end"/>
      </w:r>
      <w:r>
        <w:rPr>
          <w:rFonts w:hint="eastAsia"/>
          <w:bCs/>
          <w:color w:val="auto"/>
          <w:sz w:val="28"/>
          <w:szCs w:val="28"/>
          <w:highlight w:val="none"/>
          <w:lang w:val="en-US" w:eastAsia="zh-CN"/>
        </w:rPr>
        <w:fldChar w:fldCharType="end"/>
      </w:r>
    </w:p>
    <w:p w14:paraId="6EFB0609">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_Toc23987 </w:instrText>
      </w:r>
      <w:r>
        <w:rPr>
          <w:rFonts w:hint="eastAsia"/>
          <w:bCs/>
          <w:sz w:val="28"/>
          <w:szCs w:val="28"/>
          <w:highlight w:val="none"/>
          <w:lang w:val="en-US" w:eastAsia="zh-CN"/>
        </w:rPr>
        <w:fldChar w:fldCharType="separate"/>
      </w:r>
      <w:r>
        <w:rPr>
          <w:rFonts w:hint="eastAsia"/>
          <w:bCs/>
          <w:sz w:val="28"/>
          <w:szCs w:val="28"/>
          <w:highlight w:val="none"/>
          <w:lang w:val="en-US" w:eastAsia="zh-CN"/>
        </w:rPr>
        <w:t>七、重大工程布设依据与说明</w:t>
      </w:r>
      <w:r>
        <w:rPr>
          <w:sz w:val="28"/>
          <w:szCs w:val="28"/>
        </w:rPr>
        <w:tab/>
      </w:r>
      <w:r>
        <w:rPr>
          <w:sz w:val="28"/>
          <w:szCs w:val="28"/>
        </w:rPr>
        <w:fldChar w:fldCharType="begin"/>
      </w:r>
      <w:r>
        <w:rPr>
          <w:sz w:val="28"/>
          <w:szCs w:val="28"/>
        </w:rPr>
        <w:instrText xml:space="preserve"> PAGEREF _Toc23987 </w:instrText>
      </w:r>
      <w:r>
        <w:rPr>
          <w:sz w:val="28"/>
          <w:szCs w:val="28"/>
        </w:rPr>
        <w:fldChar w:fldCharType="separate"/>
      </w:r>
      <w:r>
        <w:rPr>
          <w:sz w:val="28"/>
          <w:szCs w:val="28"/>
        </w:rPr>
        <w:t>43</w:t>
      </w:r>
      <w:r>
        <w:rPr>
          <w:sz w:val="28"/>
          <w:szCs w:val="28"/>
        </w:rPr>
        <w:fldChar w:fldCharType="end"/>
      </w:r>
      <w:r>
        <w:rPr>
          <w:rFonts w:hint="eastAsia"/>
          <w:bCs/>
          <w:color w:val="auto"/>
          <w:sz w:val="28"/>
          <w:szCs w:val="28"/>
          <w:highlight w:val="none"/>
          <w:lang w:val="en-US" w:eastAsia="zh-CN"/>
        </w:rPr>
        <w:fldChar w:fldCharType="end"/>
      </w:r>
    </w:p>
    <w:p w14:paraId="5107395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_Toc2551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（一）重大工程布设依据</w:t>
      </w:r>
      <w:r>
        <w:rPr>
          <w:sz w:val="28"/>
          <w:szCs w:val="28"/>
        </w:rPr>
        <w:tab/>
      </w:r>
      <w:r>
        <w:rPr>
          <w:sz w:val="28"/>
          <w:szCs w:val="28"/>
        </w:rPr>
        <w:fldChar w:fldCharType="begin"/>
      </w:r>
      <w:r>
        <w:rPr>
          <w:sz w:val="28"/>
          <w:szCs w:val="28"/>
        </w:rPr>
        <w:instrText xml:space="preserve"> PAGEREF _Toc2551 </w:instrText>
      </w:r>
      <w:r>
        <w:rPr>
          <w:sz w:val="28"/>
          <w:szCs w:val="28"/>
        </w:rPr>
        <w:fldChar w:fldCharType="separate"/>
      </w:r>
      <w:r>
        <w:rPr>
          <w:sz w:val="28"/>
          <w:szCs w:val="28"/>
        </w:rPr>
        <w:t>43</w:t>
      </w:r>
      <w:r>
        <w:rPr>
          <w:sz w:val="28"/>
          <w:szCs w:val="28"/>
        </w:rPr>
        <w:fldChar w:fldCharType="end"/>
      </w:r>
      <w:r>
        <w:rPr>
          <w:rFonts w:hint="eastAsia"/>
          <w:bCs/>
          <w:color w:val="auto"/>
          <w:sz w:val="28"/>
          <w:szCs w:val="28"/>
          <w:highlight w:val="none"/>
          <w:lang w:val="en-US" w:eastAsia="zh-CN"/>
        </w:rPr>
        <w:fldChar w:fldCharType="end"/>
      </w:r>
    </w:p>
    <w:p w14:paraId="6166109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_Toc18417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（二）重大工程布设说明</w:t>
      </w:r>
      <w:r>
        <w:rPr>
          <w:sz w:val="28"/>
          <w:szCs w:val="28"/>
        </w:rPr>
        <w:tab/>
      </w:r>
      <w:r>
        <w:rPr>
          <w:sz w:val="28"/>
          <w:szCs w:val="28"/>
        </w:rPr>
        <w:fldChar w:fldCharType="begin"/>
      </w:r>
      <w:r>
        <w:rPr>
          <w:sz w:val="28"/>
          <w:szCs w:val="28"/>
        </w:rPr>
        <w:instrText xml:space="preserve"> PAGEREF _Toc18417 </w:instrText>
      </w:r>
      <w:r>
        <w:rPr>
          <w:sz w:val="28"/>
          <w:szCs w:val="28"/>
        </w:rPr>
        <w:fldChar w:fldCharType="separate"/>
      </w:r>
      <w:r>
        <w:rPr>
          <w:sz w:val="28"/>
          <w:szCs w:val="28"/>
        </w:rPr>
        <w:t>43</w:t>
      </w:r>
      <w:r>
        <w:rPr>
          <w:sz w:val="28"/>
          <w:szCs w:val="28"/>
        </w:rPr>
        <w:fldChar w:fldCharType="end"/>
      </w:r>
      <w:r>
        <w:rPr>
          <w:rFonts w:hint="eastAsia"/>
          <w:bCs/>
          <w:color w:val="auto"/>
          <w:sz w:val="28"/>
          <w:szCs w:val="28"/>
          <w:highlight w:val="none"/>
          <w:lang w:val="en-US" w:eastAsia="zh-CN"/>
        </w:rPr>
        <w:fldChar w:fldCharType="end"/>
      </w:r>
    </w:p>
    <w:p w14:paraId="7814FB73">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_Toc28643 </w:instrText>
      </w:r>
      <w:r>
        <w:rPr>
          <w:rFonts w:hint="eastAsia"/>
          <w:bCs/>
          <w:sz w:val="28"/>
          <w:szCs w:val="28"/>
          <w:highlight w:val="none"/>
          <w:lang w:val="en-US" w:eastAsia="zh-CN"/>
        </w:rPr>
        <w:fldChar w:fldCharType="separate"/>
      </w:r>
      <w:r>
        <w:rPr>
          <w:rFonts w:hint="eastAsia"/>
          <w:bCs/>
          <w:sz w:val="28"/>
          <w:szCs w:val="28"/>
          <w:highlight w:val="none"/>
          <w:lang w:val="en-US" w:eastAsia="zh-CN"/>
        </w:rPr>
        <w:t>八、成本效益</w:t>
      </w:r>
      <w:r>
        <w:rPr>
          <w:sz w:val="28"/>
          <w:szCs w:val="28"/>
        </w:rPr>
        <w:tab/>
      </w:r>
      <w:r>
        <w:rPr>
          <w:sz w:val="28"/>
          <w:szCs w:val="28"/>
        </w:rPr>
        <w:fldChar w:fldCharType="begin"/>
      </w:r>
      <w:r>
        <w:rPr>
          <w:sz w:val="28"/>
          <w:szCs w:val="28"/>
        </w:rPr>
        <w:instrText xml:space="preserve"> PAGEREF _Toc28643 </w:instrText>
      </w:r>
      <w:r>
        <w:rPr>
          <w:sz w:val="28"/>
          <w:szCs w:val="28"/>
        </w:rPr>
        <w:fldChar w:fldCharType="separate"/>
      </w:r>
      <w:r>
        <w:rPr>
          <w:sz w:val="28"/>
          <w:szCs w:val="28"/>
        </w:rPr>
        <w:t>47</w:t>
      </w:r>
      <w:r>
        <w:rPr>
          <w:sz w:val="28"/>
          <w:szCs w:val="28"/>
        </w:rPr>
        <w:fldChar w:fldCharType="end"/>
      </w:r>
      <w:r>
        <w:rPr>
          <w:rFonts w:hint="eastAsia"/>
          <w:bCs/>
          <w:color w:val="auto"/>
          <w:sz w:val="28"/>
          <w:szCs w:val="28"/>
          <w:highlight w:val="none"/>
          <w:lang w:val="en-US" w:eastAsia="zh-CN"/>
        </w:rPr>
        <w:fldChar w:fldCharType="end"/>
      </w:r>
    </w:p>
    <w:p w14:paraId="7BAA7DAA">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_Toc5080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（一）资金需求与估算依据</w:t>
      </w:r>
      <w:r>
        <w:rPr>
          <w:sz w:val="28"/>
          <w:szCs w:val="28"/>
        </w:rPr>
        <w:tab/>
      </w:r>
      <w:r>
        <w:rPr>
          <w:sz w:val="28"/>
          <w:szCs w:val="28"/>
        </w:rPr>
        <w:fldChar w:fldCharType="begin"/>
      </w:r>
      <w:r>
        <w:rPr>
          <w:sz w:val="28"/>
          <w:szCs w:val="28"/>
        </w:rPr>
        <w:instrText xml:space="preserve"> PAGEREF _Toc5080 </w:instrText>
      </w:r>
      <w:r>
        <w:rPr>
          <w:sz w:val="28"/>
          <w:szCs w:val="28"/>
        </w:rPr>
        <w:fldChar w:fldCharType="separate"/>
      </w:r>
      <w:r>
        <w:rPr>
          <w:sz w:val="28"/>
          <w:szCs w:val="28"/>
        </w:rPr>
        <w:t>47</w:t>
      </w:r>
      <w:r>
        <w:rPr>
          <w:sz w:val="28"/>
          <w:szCs w:val="28"/>
        </w:rPr>
        <w:fldChar w:fldCharType="end"/>
      </w:r>
      <w:r>
        <w:rPr>
          <w:rFonts w:hint="eastAsia"/>
          <w:bCs/>
          <w:color w:val="auto"/>
          <w:sz w:val="28"/>
          <w:szCs w:val="28"/>
          <w:highlight w:val="none"/>
          <w:lang w:val="en-US" w:eastAsia="zh-CN"/>
        </w:rPr>
        <w:fldChar w:fldCharType="end"/>
      </w:r>
    </w:p>
    <w:p w14:paraId="261004D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_Toc20553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（二）生态修复实施效益</w:t>
      </w:r>
      <w:r>
        <w:rPr>
          <w:sz w:val="28"/>
          <w:szCs w:val="28"/>
        </w:rPr>
        <w:tab/>
      </w:r>
      <w:r>
        <w:rPr>
          <w:sz w:val="28"/>
          <w:szCs w:val="28"/>
        </w:rPr>
        <w:fldChar w:fldCharType="begin"/>
      </w:r>
      <w:r>
        <w:rPr>
          <w:sz w:val="28"/>
          <w:szCs w:val="28"/>
        </w:rPr>
        <w:instrText xml:space="preserve"> PAGEREF _Toc20553 </w:instrText>
      </w:r>
      <w:r>
        <w:rPr>
          <w:sz w:val="28"/>
          <w:szCs w:val="28"/>
        </w:rPr>
        <w:fldChar w:fldCharType="separate"/>
      </w:r>
      <w:r>
        <w:rPr>
          <w:sz w:val="28"/>
          <w:szCs w:val="28"/>
        </w:rPr>
        <w:t>48</w:t>
      </w:r>
      <w:r>
        <w:rPr>
          <w:sz w:val="28"/>
          <w:szCs w:val="28"/>
        </w:rPr>
        <w:fldChar w:fldCharType="end"/>
      </w:r>
      <w:r>
        <w:rPr>
          <w:rFonts w:hint="eastAsia"/>
          <w:bCs/>
          <w:color w:val="auto"/>
          <w:sz w:val="28"/>
          <w:szCs w:val="28"/>
          <w:highlight w:val="none"/>
          <w:lang w:val="en-US" w:eastAsia="zh-CN"/>
        </w:rPr>
        <w:fldChar w:fldCharType="end"/>
      </w:r>
    </w:p>
    <w:p w14:paraId="2FCF1C2B">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_Toc28410 </w:instrText>
      </w:r>
      <w:r>
        <w:rPr>
          <w:rFonts w:hint="eastAsia"/>
          <w:bCs/>
          <w:sz w:val="28"/>
          <w:szCs w:val="28"/>
          <w:highlight w:val="none"/>
          <w:lang w:val="en-US" w:eastAsia="zh-CN"/>
        </w:rPr>
        <w:fldChar w:fldCharType="separate"/>
      </w:r>
      <w:r>
        <w:rPr>
          <w:rFonts w:hint="eastAsia"/>
          <w:bCs/>
          <w:sz w:val="28"/>
          <w:szCs w:val="28"/>
          <w:highlight w:val="none"/>
          <w:lang w:val="en-US" w:eastAsia="zh-CN"/>
        </w:rPr>
        <w:t>九、规划保障机制</w:t>
      </w:r>
      <w:r>
        <w:rPr>
          <w:sz w:val="28"/>
          <w:szCs w:val="28"/>
        </w:rPr>
        <w:tab/>
      </w:r>
      <w:r>
        <w:rPr>
          <w:sz w:val="28"/>
          <w:szCs w:val="28"/>
        </w:rPr>
        <w:fldChar w:fldCharType="begin"/>
      </w:r>
      <w:r>
        <w:rPr>
          <w:sz w:val="28"/>
          <w:szCs w:val="28"/>
        </w:rPr>
        <w:instrText xml:space="preserve"> PAGEREF _Toc28410 </w:instrText>
      </w:r>
      <w:r>
        <w:rPr>
          <w:sz w:val="28"/>
          <w:szCs w:val="28"/>
        </w:rPr>
        <w:fldChar w:fldCharType="separate"/>
      </w:r>
      <w:r>
        <w:rPr>
          <w:sz w:val="28"/>
          <w:szCs w:val="28"/>
        </w:rPr>
        <w:t>55</w:t>
      </w:r>
      <w:r>
        <w:rPr>
          <w:sz w:val="28"/>
          <w:szCs w:val="28"/>
        </w:rPr>
        <w:fldChar w:fldCharType="end"/>
      </w:r>
      <w:r>
        <w:rPr>
          <w:rFonts w:hint="eastAsia"/>
          <w:bCs/>
          <w:color w:val="auto"/>
          <w:sz w:val="28"/>
          <w:szCs w:val="28"/>
          <w:highlight w:val="none"/>
          <w:lang w:val="en-US" w:eastAsia="zh-CN"/>
        </w:rPr>
        <w:fldChar w:fldCharType="end"/>
      </w:r>
    </w:p>
    <w:p w14:paraId="4E8BE72F">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_Toc28682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（一）省市两级生态修复实施相关政策措施</w:t>
      </w:r>
      <w:r>
        <w:rPr>
          <w:sz w:val="28"/>
          <w:szCs w:val="28"/>
        </w:rPr>
        <w:tab/>
      </w:r>
      <w:r>
        <w:rPr>
          <w:sz w:val="28"/>
          <w:szCs w:val="28"/>
        </w:rPr>
        <w:fldChar w:fldCharType="begin"/>
      </w:r>
      <w:r>
        <w:rPr>
          <w:sz w:val="28"/>
          <w:szCs w:val="28"/>
        </w:rPr>
        <w:instrText xml:space="preserve"> PAGEREF _Toc28682 </w:instrText>
      </w:r>
      <w:r>
        <w:rPr>
          <w:sz w:val="28"/>
          <w:szCs w:val="28"/>
        </w:rPr>
        <w:fldChar w:fldCharType="separate"/>
      </w:r>
      <w:r>
        <w:rPr>
          <w:sz w:val="28"/>
          <w:szCs w:val="28"/>
        </w:rPr>
        <w:t>55</w:t>
      </w:r>
      <w:r>
        <w:rPr>
          <w:sz w:val="28"/>
          <w:szCs w:val="28"/>
        </w:rPr>
        <w:fldChar w:fldCharType="end"/>
      </w:r>
      <w:r>
        <w:rPr>
          <w:rFonts w:hint="eastAsia"/>
          <w:bCs/>
          <w:color w:val="auto"/>
          <w:sz w:val="28"/>
          <w:szCs w:val="28"/>
          <w:highlight w:val="none"/>
          <w:lang w:val="en-US" w:eastAsia="zh-CN"/>
        </w:rPr>
        <w:fldChar w:fldCharType="end"/>
      </w:r>
    </w:p>
    <w:p w14:paraId="5C2AE8E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_Toc2531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（二）规划实施保障机制主要内容</w:t>
      </w:r>
      <w:r>
        <w:rPr>
          <w:sz w:val="28"/>
          <w:szCs w:val="28"/>
        </w:rPr>
        <w:tab/>
      </w:r>
      <w:r>
        <w:rPr>
          <w:sz w:val="28"/>
          <w:szCs w:val="28"/>
        </w:rPr>
        <w:fldChar w:fldCharType="begin"/>
      </w:r>
      <w:r>
        <w:rPr>
          <w:sz w:val="28"/>
          <w:szCs w:val="28"/>
        </w:rPr>
        <w:instrText xml:space="preserve"> PAGEREF _Toc2531 </w:instrText>
      </w:r>
      <w:r>
        <w:rPr>
          <w:sz w:val="28"/>
          <w:szCs w:val="28"/>
        </w:rPr>
        <w:fldChar w:fldCharType="separate"/>
      </w:r>
      <w:r>
        <w:rPr>
          <w:sz w:val="28"/>
          <w:szCs w:val="28"/>
        </w:rPr>
        <w:t>57</w:t>
      </w:r>
      <w:r>
        <w:rPr>
          <w:sz w:val="28"/>
          <w:szCs w:val="28"/>
        </w:rPr>
        <w:fldChar w:fldCharType="end"/>
      </w:r>
      <w:r>
        <w:rPr>
          <w:rFonts w:hint="eastAsia"/>
          <w:bCs/>
          <w:color w:val="auto"/>
          <w:sz w:val="28"/>
          <w:szCs w:val="28"/>
          <w:highlight w:val="none"/>
          <w:lang w:val="en-US" w:eastAsia="zh-CN"/>
        </w:rPr>
        <w:fldChar w:fldCharType="end"/>
      </w:r>
    </w:p>
    <w:p w14:paraId="4D1FEEEE">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_Toc2029 </w:instrText>
      </w:r>
      <w:r>
        <w:rPr>
          <w:rFonts w:hint="eastAsia"/>
          <w:bCs/>
          <w:sz w:val="28"/>
          <w:szCs w:val="28"/>
          <w:highlight w:val="none"/>
          <w:lang w:val="en-US" w:eastAsia="zh-CN"/>
        </w:rPr>
        <w:fldChar w:fldCharType="separate"/>
      </w:r>
      <w:r>
        <w:rPr>
          <w:rFonts w:hint="eastAsia"/>
          <w:bCs/>
          <w:sz w:val="28"/>
          <w:szCs w:val="28"/>
          <w:highlight w:val="none"/>
          <w:lang w:val="en-US" w:eastAsia="zh-CN"/>
        </w:rPr>
        <w:t>十、规划的衔接、协调</w:t>
      </w:r>
      <w:r>
        <w:rPr>
          <w:sz w:val="28"/>
          <w:szCs w:val="28"/>
        </w:rPr>
        <w:tab/>
      </w:r>
      <w:r>
        <w:rPr>
          <w:sz w:val="28"/>
          <w:szCs w:val="28"/>
        </w:rPr>
        <w:fldChar w:fldCharType="begin"/>
      </w:r>
      <w:r>
        <w:rPr>
          <w:sz w:val="28"/>
          <w:szCs w:val="28"/>
        </w:rPr>
        <w:instrText xml:space="preserve"> PAGEREF _Toc2029 </w:instrText>
      </w:r>
      <w:r>
        <w:rPr>
          <w:sz w:val="28"/>
          <w:szCs w:val="28"/>
        </w:rPr>
        <w:fldChar w:fldCharType="separate"/>
      </w:r>
      <w:r>
        <w:rPr>
          <w:sz w:val="28"/>
          <w:szCs w:val="28"/>
        </w:rPr>
        <w:t>64</w:t>
      </w:r>
      <w:r>
        <w:rPr>
          <w:sz w:val="28"/>
          <w:szCs w:val="28"/>
        </w:rPr>
        <w:fldChar w:fldCharType="end"/>
      </w:r>
      <w:r>
        <w:rPr>
          <w:rFonts w:hint="eastAsia"/>
          <w:bCs/>
          <w:color w:val="auto"/>
          <w:sz w:val="28"/>
          <w:szCs w:val="28"/>
          <w:highlight w:val="none"/>
          <w:lang w:val="en-US" w:eastAsia="zh-CN"/>
        </w:rPr>
        <w:fldChar w:fldCharType="end"/>
      </w:r>
    </w:p>
    <w:p w14:paraId="4FA2082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_Toc767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（一）与国家生态修复领域重大规划的衔接</w:t>
      </w:r>
      <w:r>
        <w:rPr>
          <w:sz w:val="28"/>
          <w:szCs w:val="28"/>
        </w:rPr>
        <w:tab/>
      </w:r>
      <w:r>
        <w:rPr>
          <w:sz w:val="28"/>
          <w:szCs w:val="28"/>
        </w:rPr>
        <w:fldChar w:fldCharType="begin"/>
      </w:r>
      <w:r>
        <w:rPr>
          <w:sz w:val="28"/>
          <w:szCs w:val="28"/>
        </w:rPr>
        <w:instrText xml:space="preserve"> PAGEREF _Toc767 </w:instrText>
      </w:r>
      <w:r>
        <w:rPr>
          <w:sz w:val="28"/>
          <w:szCs w:val="28"/>
        </w:rPr>
        <w:fldChar w:fldCharType="separate"/>
      </w:r>
      <w:r>
        <w:rPr>
          <w:sz w:val="28"/>
          <w:szCs w:val="28"/>
        </w:rPr>
        <w:t>64</w:t>
      </w:r>
      <w:r>
        <w:rPr>
          <w:sz w:val="28"/>
          <w:szCs w:val="28"/>
        </w:rPr>
        <w:fldChar w:fldCharType="end"/>
      </w:r>
      <w:r>
        <w:rPr>
          <w:rFonts w:hint="eastAsia"/>
          <w:bCs/>
          <w:color w:val="auto"/>
          <w:sz w:val="28"/>
          <w:szCs w:val="28"/>
          <w:highlight w:val="none"/>
          <w:lang w:val="en-US" w:eastAsia="zh-CN"/>
        </w:rPr>
        <w:fldChar w:fldCharType="end"/>
      </w:r>
    </w:p>
    <w:p w14:paraId="360C229F">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_Toc27240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（二）与江西省重大发展战略规划的衔接</w:t>
      </w:r>
      <w:r>
        <w:rPr>
          <w:sz w:val="28"/>
          <w:szCs w:val="28"/>
        </w:rPr>
        <w:tab/>
      </w:r>
      <w:r>
        <w:rPr>
          <w:sz w:val="28"/>
          <w:szCs w:val="28"/>
        </w:rPr>
        <w:fldChar w:fldCharType="begin"/>
      </w:r>
      <w:r>
        <w:rPr>
          <w:sz w:val="28"/>
          <w:szCs w:val="28"/>
        </w:rPr>
        <w:instrText xml:space="preserve"> PAGEREF _Toc27240 </w:instrText>
      </w:r>
      <w:r>
        <w:rPr>
          <w:sz w:val="28"/>
          <w:szCs w:val="28"/>
        </w:rPr>
        <w:fldChar w:fldCharType="separate"/>
      </w:r>
      <w:r>
        <w:rPr>
          <w:sz w:val="28"/>
          <w:szCs w:val="28"/>
        </w:rPr>
        <w:t>64</w:t>
      </w:r>
      <w:r>
        <w:rPr>
          <w:sz w:val="28"/>
          <w:szCs w:val="28"/>
        </w:rPr>
        <w:fldChar w:fldCharType="end"/>
      </w:r>
      <w:r>
        <w:rPr>
          <w:rFonts w:hint="eastAsia"/>
          <w:bCs/>
          <w:color w:val="auto"/>
          <w:sz w:val="28"/>
          <w:szCs w:val="28"/>
          <w:highlight w:val="none"/>
          <w:lang w:val="en-US" w:eastAsia="zh-CN"/>
        </w:rPr>
        <w:fldChar w:fldCharType="end"/>
      </w:r>
    </w:p>
    <w:p w14:paraId="789C6AD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_Toc16832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（三）与赣州市“十四五”国土空间生态修复规划的衔接</w:t>
      </w:r>
      <w:r>
        <w:rPr>
          <w:sz w:val="28"/>
          <w:szCs w:val="28"/>
        </w:rPr>
        <w:tab/>
      </w:r>
      <w:r>
        <w:rPr>
          <w:sz w:val="28"/>
          <w:szCs w:val="28"/>
        </w:rPr>
        <w:fldChar w:fldCharType="begin"/>
      </w:r>
      <w:r>
        <w:rPr>
          <w:sz w:val="28"/>
          <w:szCs w:val="28"/>
        </w:rPr>
        <w:instrText xml:space="preserve"> PAGEREF _Toc16832 </w:instrText>
      </w:r>
      <w:r>
        <w:rPr>
          <w:sz w:val="28"/>
          <w:szCs w:val="28"/>
        </w:rPr>
        <w:fldChar w:fldCharType="separate"/>
      </w:r>
      <w:r>
        <w:rPr>
          <w:sz w:val="28"/>
          <w:szCs w:val="28"/>
        </w:rPr>
        <w:t>66</w:t>
      </w:r>
      <w:r>
        <w:rPr>
          <w:sz w:val="28"/>
          <w:szCs w:val="28"/>
        </w:rPr>
        <w:fldChar w:fldCharType="end"/>
      </w:r>
      <w:r>
        <w:rPr>
          <w:rFonts w:hint="eastAsia"/>
          <w:bCs/>
          <w:color w:val="auto"/>
          <w:sz w:val="28"/>
          <w:szCs w:val="28"/>
          <w:highlight w:val="none"/>
          <w:lang w:val="en-US" w:eastAsia="zh-CN"/>
        </w:rPr>
        <w:fldChar w:fldCharType="end"/>
      </w:r>
    </w:p>
    <w:p w14:paraId="69F68D9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_Toc3249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（四）与龙南市“十四五”其他专项规划的衔接</w:t>
      </w:r>
      <w:r>
        <w:rPr>
          <w:sz w:val="28"/>
          <w:szCs w:val="28"/>
        </w:rPr>
        <w:tab/>
      </w:r>
      <w:r>
        <w:rPr>
          <w:sz w:val="28"/>
          <w:szCs w:val="28"/>
        </w:rPr>
        <w:fldChar w:fldCharType="begin"/>
      </w:r>
      <w:r>
        <w:rPr>
          <w:sz w:val="28"/>
          <w:szCs w:val="28"/>
        </w:rPr>
        <w:instrText xml:space="preserve"> PAGEREF _Toc3249 </w:instrText>
      </w:r>
      <w:r>
        <w:rPr>
          <w:sz w:val="28"/>
          <w:szCs w:val="28"/>
        </w:rPr>
        <w:fldChar w:fldCharType="separate"/>
      </w:r>
      <w:r>
        <w:rPr>
          <w:sz w:val="28"/>
          <w:szCs w:val="28"/>
        </w:rPr>
        <w:t>66</w:t>
      </w:r>
      <w:r>
        <w:rPr>
          <w:sz w:val="28"/>
          <w:szCs w:val="28"/>
        </w:rPr>
        <w:fldChar w:fldCharType="end"/>
      </w:r>
      <w:r>
        <w:rPr>
          <w:rFonts w:hint="eastAsia"/>
          <w:bCs/>
          <w:color w:val="auto"/>
          <w:sz w:val="28"/>
          <w:szCs w:val="28"/>
          <w:highlight w:val="none"/>
          <w:lang w:val="en-US" w:eastAsia="zh-CN"/>
        </w:rPr>
        <w:fldChar w:fldCharType="end"/>
      </w:r>
    </w:p>
    <w:p w14:paraId="2459C6B2">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_Toc3045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（五）与龙南市自然资源局相关股室“十四五”工作的衔接</w:t>
      </w:r>
      <w:r>
        <w:rPr>
          <w:sz w:val="28"/>
          <w:szCs w:val="28"/>
        </w:rPr>
        <w:tab/>
      </w:r>
      <w:r>
        <w:rPr>
          <w:sz w:val="28"/>
          <w:szCs w:val="28"/>
        </w:rPr>
        <w:fldChar w:fldCharType="begin"/>
      </w:r>
      <w:r>
        <w:rPr>
          <w:sz w:val="28"/>
          <w:szCs w:val="28"/>
        </w:rPr>
        <w:instrText xml:space="preserve"> PAGEREF _Toc3045 </w:instrText>
      </w:r>
      <w:r>
        <w:rPr>
          <w:sz w:val="28"/>
          <w:szCs w:val="28"/>
        </w:rPr>
        <w:fldChar w:fldCharType="separate"/>
      </w:r>
      <w:r>
        <w:rPr>
          <w:sz w:val="28"/>
          <w:szCs w:val="28"/>
        </w:rPr>
        <w:t>67</w:t>
      </w:r>
      <w:r>
        <w:rPr>
          <w:sz w:val="28"/>
          <w:szCs w:val="28"/>
        </w:rPr>
        <w:fldChar w:fldCharType="end"/>
      </w:r>
      <w:r>
        <w:rPr>
          <w:rFonts w:hint="eastAsia"/>
          <w:bCs/>
          <w:color w:val="auto"/>
          <w:sz w:val="28"/>
          <w:szCs w:val="28"/>
          <w:highlight w:val="none"/>
          <w:lang w:val="en-US" w:eastAsia="zh-CN"/>
        </w:rPr>
        <w:fldChar w:fldCharType="end"/>
      </w:r>
    </w:p>
    <w:p w14:paraId="1E31724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_Toc13665 </w:instrText>
      </w:r>
      <w:r>
        <w:rPr>
          <w:rFonts w:hint="eastAsia"/>
          <w:bCs/>
          <w:sz w:val="28"/>
          <w:szCs w:val="28"/>
          <w:highlight w:val="none"/>
          <w:lang w:val="en-US" w:eastAsia="zh-CN"/>
        </w:rPr>
        <w:fldChar w:fldCharType="separate"/>
      </w:r>
      <w:r>
        <w:rPr>
          <w:rFonts w:hint="eastAsia"/>
          <w:bCs/>
          <w:sz w:val="28"/>
          <w:szCs w:val="28"/>
          <w:highlight w:val="none"/>
          <w:lang w:val="en-US" w:eastAsia="zh-CN"/>
        </w:rPr>
        <w:t>十一、公众参与及反馈意见采纳情况</w:t>
      </w:r>
      <w:r>
        <w:rPr>
          <w:sz w:val="28"/>
          <w:szCs w:val="28"/>
        </w:rPr>
        <w:tab/>
      </w:r>
      <w:r>
        <w:rPr>
          <w:sz w:val="28"/>
          <w:szCs w:val="28"/>
        </w:rPr>
        <w:fldChar w:fldCharType="begin"/>
      </w:r>
      <w:r>
        <w:rPr>
          <w:sz w:val="28"/>
          <w:szCs w:val="28"/>
        </w:rPr>
        <w:instrText xml:space="preserve"> PAGEREF _Toc13665 </w:instrText>
      </w:r>
      <w:r>
        <w:rPr>
          <w:sz w:val="28"/>
          <w:szCs w:val="28"/>
        </w:rPr>
        <w:fldChar w:fldCharType="separate"/>
      </w:r>
      <w:r>
        <w:rPr>
          <w:sz w:val="28"/>
          <w:szCs w:val="28"/>
        </w:rPr>
        <w:t>68</w:t>
      </w:r>
      <w:r>
        <w:rPr>
          <w:sz w:val="28"/>
          <w:szCs w:val="28"/>
        </w:rPr>
        <w:fldChar w:fldCharType="end"/>
      </w:r>
      <w:r>
        <w:rPr>
          <w:rFonts w:hint="eastAsia"/>
          <w:bCs/>
          <w:color w:val="auto"/>
          <w:sz w:val="28"/>
          <w:szCs w:val="28"/>
          <w:highlight w:val="none"/>
          <w:lang w:val="en-US" w:eastAsia="zh-CN"/>
        </w:rPr>
        <w:fldChar w:fldCharType="end"/>
      </w:r>
    </w:p>
    <w:p w14:paraId="75A6D24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_Toc11796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（一）公众参与情况说明</w:t>
      </w:r>
      <w:r>
        <w:rPr>
          <w:sz w:val="28"/>
          <w:szCs w:val="28"/>
        </w:rPr>
        <w:tab/>
      </w:r>
      <w:r>
        <w:rPr>
          <w:sz w:val="28"/>
          <w:szCs w:val="28"/>
        </w:rPr>
        <w:fldChar w:fldCharType="begin"/>
      </w:r>
      <w:r>
        <w:rPr>
          <w:sz w:val="28"/>
          <w:szCs w:val="28"/>
        </w:rPr>
        <w:instrText xml:space="preserve"> PAGEREF _Toc11796 </w:instrText>
      </w:r>
      <w:r>
        <w:rPr>
          <w:sz w:val="28"/>
          <w:szCs w:val="28"/>
        </w:rPr>
        <w:fldChar w:fldCharType="separate"/>
      </w:r>
      <w:r>
        <w:rPr>
          <w:sz w:val="28"/>
          <w:szCs w:val="28"/>
        </w:rPr>
        <w:t>68</w:t>
      </w:r>
      <w:r>
        <w:rPr>
          <w:sz w:val="28"/>
          <w:szCs w:val="28"/>
        </w:rPr>
        <w:fldChar w:fldCharType="end"/>
      </w:r>
      <w:r>
        <w:rPr>
          <w:rFonts w:hint="eastAsia"/>
          <w:bCs/>
          <w:color w:val="auto"/>
          <w:sz w:val="28"/>
          <w:szCs w:val="28"/>
          <w:highlight w:val="none"/>
          <w:lang w:val="en-US" w:eastAsia="zh-CN"/>
        </w:rPr>
        <w:fldChar w:fldCharType="end"/>
      </w:r>
    </w:p>
    <w:p w14:paraId="005263F7">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_Toc25906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（二）反馈意见采纳情况</w:t>
      </w:r>
      <w:r>
        <w:rPr>
          <w:sz w:val="28"/>
          <w:szCs w:val="28"/>
        </w:rPr>
        <w:tab/>
      </w:r>
      <w:r>
        <w:rPr>
          <w:sz w:val="28"/>
          <w:szCs w:val="28"/>
        </w:rPr>
        <w:fldChar w:fldCharType="begin"/>
      </w:r>
      <w:r>
        <w:rPr>
          <w:sz w:val="28"/>
          <w:szCs w:val="28"/>
        </w:rPr>
        <w:instrText xml:space="preserve"> PAGEREF _Toc25906 </w:instrText>
      </w:r>
      <w:r>
        <w:rPr>
          <w:sz w:val="28"/>
          <w:szCs w:val="28"/>
        </w:rPr>
        <w:fldChar w:fldCharType="separate"/>
      </w:r>
      <w:r>
        <w:rPr>
          <w:sz w:val="28"/>
          <w:szCs w:val="28"/>
        </w:rPr>
        <w:t>69</w:t>
      </w:r>
      <w:r>
        <w:rPr>
          <w:sz w:val="28"/>
          <w:szCs w:val="28"/>
        </w:rPr>
        <w:fldChar w:fldCharType="end"/>
      </w:r>
      <w:r>
        <w:rPr>
          <w:rFonts w:hint="eastAsia"/>
          <w:bCs/>
          <w:color w:val="auto"/>
          <w:sz w:val="28"/>
          <w:szCs w:val="28"/>
          <w:highlight w:val="none"/>
          <w:lang w:val="en-US" w:eastAsia="zh-CN"/>
        </w:rPr>
        <w:fldChar w:fldCharType="end"/>
      </w:r>
    </w:p>
    <w:p w14:paraId="37056C71">
      <w:pPr>
        <w:pStyle w:val="11"/>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_Toc6693 </w:instrText>
      </w:r>
      <w:r>
        <w:rPr>
          <w:rFonts w:hint="eastAsia"/>
          <w:bCs/>
          <w:sz w:val="28"/>
          <w:szCs w:val="28"/>
          <w:highlight w:val="none"/>
          <w:lang w:val="en-US" w:eastAsia="zh-CN"/>
        </w:rPr>
        <w:fldChar w:fldCharType="separate"/>
      </w:r>
      <w:r>
        <w:rPr>
          <w:rFonts w:hint="eastAsia"/>
          <w:bCs/>
          <w:sz w:val="28"/>
          <w:szCs w:val="28"/>
          <w:highlight w:val="none"/>
          <w:lang w:val="en-US" w:eastAsia="zh-CN"/>
        </w:rPr>
        <w:t>十二、规划成果</w:t>
      </w:r>
      <w:r>
        <w:rPr>
          <w:sz w:val="28"/>
          <w:szCs w:val="28"/>
        </w:rPr>
        <w:tab/>
      </w:r>
      <w:r>
        <w:rPr>
          <w:sz w:val="28"/>
          <w:szCs w:val="28"/>
        </w:rPr>
        <w:fldChar w:fldCharType="begin"/>
      </w:r>
      <w:r>
        <w:rPr>
          <w:sz w:val="28"/>
          <w:szCs w:val="28"/>
        </w:rPr>
        <w:instrText xml:space="preserve"> PAGEREF _Toc6693 </w:instrText>
      </w:r>
      <w:r>
        <w:rPr>
          <w:sz w:val="28"/>
          <w:szCs w:val="28"/>
        </w:rPr>
        <w:fldChar w:fldCharType="separate"/>
      </w:r>
      <w:r>
        <w:rPr>
          <w:sz w:val="28"/>
          <w:szCs w:val="28"/>
        </w:rPr>
        <w:t>70</w:t>
      </w:r>
      <w:r>
        <w:rPr>
          <w:sz w:val="28"/>
          <w:szCs w:val="28"/>
        </w:rPr>
        <w:fldChar w:fldCharType="end"/>
      </w:r>
      <w:r>
        <w:rPr>
          <w:rFonts w:hint="eastAsia"/>
          <w:bCs/>
          <w:color w:val="auto"/>
          <w:sz w:val="28"/>
          <w:szCs w:val="28"/>
          <w:highlight w:val="none"/>
          <w:lang w:val="en-US" w:eastAsia="zh-CN"/>
        </w:rPr>
        <w:fldChar w:fldCharType="end"/>
      </w:r>
    </w:p>
    <w:p w14:paraId="34041BA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_Toc29337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（一）规划文本</w:t>
      </w:r>
      <w:r>
        <w:rPr>
          <w:sz w:val="28"/>
          <w:szCs w:val="28"/>
        </w:rPr>
        <w:tab/>
      </w:r>
      <w:r>
        <w:rPr>
          <w:sz w:val="28"/>
          <w:szCs w:val="28"/>
        </w:rPr>
        <w:fldChar w:fldCharType="begin"/>
      </w:r>
      <w:r>
        <w:rPr>
          <w:sz w:val="28"/>
          <w:szCs w:val="28"/>
        </w:rPr>
        <w:instrText xml:space="preserve"> PAGEREF _Toc29337 </w:instrText>
      </w:r>
      <w:r>
        <w:rPr>
          <w:sz w:val="28"/>
          <w:szCs w:val="28"/>
        </w:rPr>
        <w:fldChar w:fldCharType="separate"/>
      </w:r>
      <w:r>
        <w:rPr>
          <w:sz w:val="28"/>
          <w:szCs w:val="28"/>
        </w:rPr>
        <w:t>70</w:t>
      </w:r>
      <w:r>
        <w:rPr>
          <w:sz w:val="28"/>
          <w:szCs w:val="28"/>
        </w:rPr>
        <w:fldChar w:fldCharType="end"/>
      </w:r>
      <w:r>
        <w:rPr>
          <w:rFonts w:hint="eastAsia"/>
          <w:bCs/>
          <w:color w:val="auto"/>
          <w:sz w:val="28"/>
          <w:szCs w:val="28"/>
          <w:highlight w:val="none"/>
          <w:lang w:val="en-US" w:eastAsia="zh-CN"/>
        </w:rPr>
        <w:fldChar w:fldCharType="end"/>
      </w:r>
    </w:p>
    <w:p w14:paraId="627E3E5B">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_Toc12487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（二）规划说明</w:t>
      </w:r>
      <w:r>
        <w:rPr>
          <w:sz w:val="28"/>
          <w:szCs w:val="28"/>
        </w:rPr>
        <w:tab/>
      </w:r>
      <w:r>
        <w:rPr>
          <w:sz w:val="28"/>
          <w:szCs w:val="28"/>
        </w:rPr>
        <w:fldChar w:fldCharType="begin"/>
      </w:r>
      <w:r>
        <w:rPr>
          <w:sz w:val="28"/>
          <w:szCs w:val="28"/>
        </w:rPr>
        <w:instrText xml:space="preserve"> PAGEREF _Toc12487 </w:instrText>
      </w:r>
      <w:r>
        <w:rPr>
          <w:sz w:val="28"/>
          <w:szCs w:val="28"/>
        </w:rPr>
        <w:fldChar w:fldCharType="separate"/>
      </w:r>
      <w:r>
        <w:rPr>
          <w:sz w:val="28"/>
          <w:szCs w:val="28"/>
        </w:rPr>
        <w:t>71</w:t>
      </w:r>
      <w:r>
        <w:rPr>
          <w:sz w:val="28"/>
          <w:szCs w:val="28"/>
        </w:rPr>
        <w:fldChar w:fldCharType="end"/>
      </w:r>
      <w:r>
        <w:rPr>
          <w:rFonts w:hint="eastAsia"/>
          <w:bCs/>
          <w:color w:val="auto"/>
          <w:sz w:val="28"/>
          <w:szCs w:val="28"/>
          <w:highlight w:val="none"/>
          <w:lang w:val="en-US" w:eastAsia="zh-CN"/>
        </w:rPr>
        <w:fldChar w:fldCharType="end"/>
      </w:r>
    </w:p>
    <w:p w14:paraId="528743A1">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_Toc22351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（三）规划图件</w:t>
      </w:r>
      <w:r>
        <w:rPr>
          <w:sz w:val="28"/>
          <w:szCs w:val="28"/>
        </w:rPr>
        <w:tab/>
      </w:r>
      <w:r>
        <w:rPr>
          <w:sz w:val="28"/>
          <w:szCs w:val="28"/>
        </w:rPr>
        <w:fldChar w:fldCharType="begin"/>
      </w:r>
      <w:r>
        <w:rPr>
          <w:sz w:val="28"/>
          <w:szCs w:val="28"/>
        </w:rPr>
        <w:instrText xml:space="preserve"> PAGEREF _Toc22351 </w:instrText>
      </w:r>
      <w:r>
        <w:rPr>
          <w:sz w:val="28"/>
          <w:szCs w:val="28"/>
        </w:rPr>
        <w:fldChar w:fldCharType="separate"/>
      </w:r>
      <w:r>
        <w:rPr>
          <w:sz w:val="28"/>
          <w:szCs w:val="28"/>
        </w:rPr>
        <w:t>76</w:t>
      </w:r>
      <w:r>
        <w:rPr>
          <w:sz w:val="28"/>
          <w:szCs w:val="28"/>
        </w:rPr>
        <w:fldChar w:fldCharType="end"/>
      </w:r>
      <w:r>
        <w:rPr>
          <w:rFonts w:hint="eastAsia"/>
          <w:bCs/>
          <w:color w:val="auto"/>
          <w:sz w:val="28"/>
          <w:szCs w:val="28"/>
          <w:highlight w:val="none"/>
          <w:lang w:val="en-US" w:eastAsia="zh-CN"/>
        </w:rPr>
        <w:fldChar w:fldCharType="end"/>
      </w:r>
    </w:p>
    <w:p w14:paraId="316C5E83">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_Toc22898 </w:instrText>
      </w:r>
      <w:r>
        <w:rPr>
          <w:rFonts w:hint="eastAsia"/>
          <w:bCs/>
          <w:sz w:val="28"/>
          <w:szCs w:val="28"/>
          <w:highlight w:val="none"/>
          <w:lang w:val="en-US" w:eastAsia="zh-CN"/>
        </w:rPr>
        <w:fldChar w:fldCharType="separate"/>
      </w:r>
      <w:r>
        <w:rPr>
          <w:rFonts w:hint="eastAsia" w:ascii="Times New Roman" w:hAnsi="Times New Roman" w:eastAsia="仿宋" w:cs="Times New Roman"/>
          <w:bCs/>
          <w:sz w:val="28"/>
          <w:szCs w:val="28"/>
          <w:highlight w:val="none"/>
          <w:lang w:val="en-US" w:eastAsia="zh-CN"/>
        </w:rPr>
        <w:t>（四）规划编制协调机构及编制单位</w:t>
      </w:r>
      <w:r>
        <w:rPr>
          <w:sz w:val="28"/>
          <w:szCs w:val="28"/>
        </w:rPr>
        <w:tab/>
      </w:r>
      <w:r>
        <w:rPr>
          <w:sz w:val="28"/>
          <w:szCs w:val="28"/>
        </w:rPr>
        <w:fldChar w:fldCharType="begin"/>
      </w:r>
      <w:r>
        <w:rPr>
          <w:sz w:val="28"/>
          <w:szCs w:val="28"/>
        </w:rPr>
        <w:instrText xml:space="preserve"> PAGEREF _Toc22898 </w:instrText>
      </w:r>
      <w:r>
        <w:rPr>
          <w:sz w:val="28"/>
          <w:szCs w:val="28"/>
        </w:rPr>
        <w:fldChar w:fldCharType="separate"/>
      </w:r>
      <w:r>
        <w:rPr>
          <w:sz w:val="28"/>
          <w:szCs w:val="28"/>
        </w:rPr>
        <w:t>77</w:t>
      </w:r>
      <w:r>
        <w:rPr>
          <w:sz w:val="28"/>
          <w:szCs w:val="28"/>
        </w:rPr>
        <w:fldChar w:fldCharType="end"/>
      </w:r>
      <w:r>
        <w:rPr>
          <w:rFonts w:hint="eastAsia"/>
          <w:bCs/>
          <w:color w:val="auto"/>
          <w:sz w:val="28"/>
          <w:szCs w:val="28"/>
          <w:highlight w:val="none"/>
          <w:lang w:val="en-US" w:eastAsia="zh-CN"/>
        </w:rPr>
        <w:fldChar w:fldCharType="end"/>
      </w:r>
    </w:p>
    <w:p w14:paraId="6679E82A">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313" w:beforeLines="100"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_Toc26375 </w:instrText>
      </w:r>
      <w:r>
        <w:rPr>
          <w:rFonts w:hint="eastAsia"/>
          <w:bCs/>
          <w:sz w:val="28"/>
          <w:szCs w:val="28"/>
          <w:highlight w:val="none"/>
          <w:lang w:val="en-US" w:eastAsia="zh-CN"/>
        </w:rPr>
        <w:fldChar w:fldCharType="separate"/>
      </w:r>
      <w:r>
        <w:rPr>
          <w:rFonts w:hint="eastAsia"/>
          <w:bCs/>
          <w:sz w:val="28"/>
          <w:szCs w:val="28"/>
          <w:highlight w:val="none"/>
          <w:lang w:val="en-US" w:eastAsia="zh-CN"/>
        </w:rPr>
        <w:t>附表  龙南市“十四五”国土空间生态修复重大工程项目清单</w:t>
      </w:r>
      <w:r>
        <w:rPr>
          <w:sz w:val="28"/>
          <w:szCs w:val="28"/>
        </w:rPr>
        <w:tab/>
      </w:r>
      <w:r>
        <w:rPr>
          <w:sz w:val="28"/>
          <w:szCs w:val="28"/>
        </w:rPr>
        <w:fldChar w:fldCharType="begin"/>
      </w:r>
      <w:r>
        <w:rPr>
          <w:sz w:val="28"/>
          <w:szCs w:val="28"/>
        </w:rPr>
        <w:instrText xml:space="preserve"> PAGEREF _Toc26375 </w:instrText>
      </w:r>
      <w:r>
        <w:rPr>
          <w:sz w:val="28"/>
          <w:szCs w:val="28"/>
        </w:rPr>
        <w:fldChar w:fldCharType="separate"/>
      </w:r>
      <w:r>
        <w:rPr>
          <w:sz w:val="28"/>
          <w:szCs w:val="28"/>
        </w:rPr>
        <w:t>78</w:t>
      </w:r>
      <w:r>
        <w:rPr>
          <w:sz w:val="28"/>
          <w:szCs w:val="28"/>
        </w:rPr>
        <w:fldChar w:fldCharType="end"/>
      </w:r>
      <w:r>
        <w:rPr>
          <w:rFonts w:hint="eastAsia"/>
          <w:bCs/>
          <w:color w:val="auto"/>
          <w:sz w:val="28"/>
          <w:szCs w:val="28"/>
          <w:highlight w:val="none"/>
          <w:lang w:val="en-US" w:eastAsia="zh-CN"/>
        </w:rPr>
        <w:fldChar w:fldCharType="end"/>
      </w:r>
    </w:p>
    <w:p w14:paraId="5AD086AA">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_Toc25280 </w:instrText>
      </w:r>
      <w:r>
        <w:rPr>
          <w:rFonts w:hint="eastAsia"/>
          <w:bCs/>
          <w:sz w:val="28"/>
          <w:szCs w:val="28"/>
          <w:highlight w:val="none"/>
          <w:lang w:val="en-US" w:eastAsia="zh-CN"/>
        </w:rPr>
        <w:fldChar w:fldCharType="separate"/>
      </w:r>
      <w:r>
        <w:rPr>
          <w:rFonts w:hint="eastAsia"/>
          <w:bCs/>
          <w:sz w:val="28"/>
          <w:szCs w:val="28"/>
          <w:highlight w:val="none"/>
          <w:lang w:val="en-US" w:eastAsia="zh-CN"/>
        </w:rPr>
        <w:t>附图</w:t>
      </w:r>
      <w:r>
        <w:rPr>
          <w:sz w:val="28"/>
          <w:szCs w:val="28"/>
        </w:rPr>
        <w:tab/>
      </w:r>
      <w:r>
        <w:rPr>
          <w:sz w:val="28"/>
          <w:szCs w:val="28"/>
        </w:rPr>
        <w:fldChar w:fldCharType="begin"/>
      </w:r>
      <w:r>
        <w:rPr>
          <w:sz w:val="28"/>
          <w:szCs w:val="28"/>
        </w:rPr>
        <w:instrText xml:space="preserve"> PAGEREF _Toc25280 </w:instrText>
      </w:r>
      <w:r>
        <w:rPr>
          <w:sz w:val="28"/>
          <w:szCs w:val="28"/>
        </w:rPr>
        <w:fldChar w:fldCharType="separate"/>
      </w:r>
      <w:r>
        <w:rPr>
          <w:sz w:val="28"/>
          <w:szCs w:val="28"/>
        </w:rPr>
        <w:t>79</w:t>
      </w:r>
      <w:r>
        <w:rPr>
          <w:sz w:val="28"/>
          <w:szCs w:val="28"/>
        </w:rPr>
        <w:fldChar w:fldCharType="end"/>
      </w:r>
      <w:r>
        <w:rPr>
          <w:rFonts w:hint="eastAsia"/>
          <w:bCs/>
          <w:color w:val="auto"/>
          <w:sz w:val="28"/>
          <w:szCs w:val="28"/>
          <w:highlight w:val="none"/>
          <w:lang w:val="en-US" w:eastAsia="zh-CN"/>
        </w:rPr>
        <w:fldChar w:fldCharType="end"/>
      </w:r>
    </w:p>
    <w:p w14:paraId="15FCF37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_Toc8413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附图1</w:t>
      </w:r>
      <w:r>
        <w:rPr>
          <w:rFonts w:hint="eastAsia" w:ascii="仿宋" w:hAnsi="仿宋" w:eastAsia="仿宋" w:cs="仿宋"/>
          <w:sz w:val="28"/>
          <w:szCs w:val="28"/>
          <w:highlight w:val="none"/>
          <w:lang w:val="en-US" w:eastAsia="zh-CN" w:bidi="ar"/>
        </w:rPr>
        <w:t xml:space="preserve">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地理位置</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_Toc8413 </w:instrText>
      </w:r>
      <w:r>
        <w:rPr>
          <w:sz w:val="28"/>
          <w:szCs w:val="28"/>
        </w:rPr>
        <w:fldChar w:fldCharType="separate"/>
      </w:r>
      <w:r>
        <w:rPr>
          <w:sz w:val="28"/>
          <w:szCs w:val="28"/>
        </w:rPr>
        <w:t>79</w:t>
      </w:r>
      <w:r>
        <w:rPr>
          <w:sz w:val="28"/>
          <w:szCs w:val="28"/>
        </w:rPr>
        <w:fldChar w:fldCharType="end"/>
      </w:r>
      <w:r>
        <w:rPr>
          <w:rFonts w:hint="eastAsia"/>
          <w:bCs/>
          <w:color w:val="auto"/>
          <w:sz w:val="28"/>
          <w:szCs w:val="28"/>
          <w:highlight w:val="none"/>
          <w:lang w:val="en-US" w:eastAsia="zh-CN"/>
        </w:rPr>
        <w:fldChar w:fldCharType="end"/>
      </w:r>
    </w:p>
    <w:p w14:paraId="4E87A42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_Toc13980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2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自然地理格局</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_Toc13980 </w:instrText>
      </w:r>
      <w:r>
        <w:rPr>
          <w:sz w:val="28"/>
          <w:szCs w:val="28"/>
        </w:rPr>
        <w:fldChar w:fldCharType="separate"/>
      </w:r>
      <w:r>
        <w:rPr>
          <w:sz w:val="28"/>
          <w:szCs w:val="28"/>
        </w:rPr>
        <w:t>80</w:t>
      </w:r>
      <w:r>
        <w:rPr>
          <w:sz w:val="28"/>
          <w:szCs w:val="28"/>
        </w:rPr>
        <w:fldChar w:fldCharType="end"/>
      </w:r>
      <w:r>
        <w:rPr>
          <w:rFonts w:hint="eastAsia"/>
          <w:bCs/>
          <w:color w:val="auto"/>
          <w:sz w:val="28"/>
          <w:szCs w:val="28"/>
          <w:highlight w:val="none"/>
          <w:lang w:val="en-US" w:eastAsia="zh-CN"/>
        </w:rPr>
        <w:fldChar w:fldCharType="end"/>
      </w:r>
    </w:p>
    <w:p w14:paraId="3EDED17F">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_Toc6475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3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小流域分布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_Toc6475 </w:instrText>
      </w:r>
      <w:r>
        <w:rPr>
          <w:sz w:val="28"/>
          <w:szCs w:val="28"/>
        </w:rPr>
        <w:fldChar w:fldCharType="separate"/>
      </w:r>
      <w:r>
        <w:rPr>
          <w:sz w:val="28"/>
          <w:szCs w:val="28"/>
        </w:rPr>
        <w:t>81</w:t>
      </w:r>
      <w:r>
        <w:rPr>
          <w:sz w:val="28"/>
          <w:szCs w:val="28"/>
        </w:rPr>
        <w:fldChar w:fldCharType="end"/>
      </w:r>
      <w:r>
        <w:rPr>
          <w:rFonts w:hint="eastAsia"/>
          <w:bCs/>
          <w:color w:val="auto"/>
          <w:sz w:val="28"/>
          <w:szCs w:val="28"/>
          <w:highlight w:val="none"/>
          <w:lang w:val="en-US" w:eastAsia="zh-CN"/>
        </w:rPr>
        <w:fldChar w:fldCharType="end"/>
      </w:r>
    </w:p>
    <w:p w14:paraId="4A45A7F7">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_Toc2287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4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交通干线网络</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_Toc2287 </w:instrText>
      </w:r>
      <w:r>
        <w:rPr>
          <w:sz w:val="28"/>
          <w:szCs w:val="28"/>
        </w:rPr>
        <w:fldChar w:fldCharType="separate"/>
      </w:r>
      <w:r>
        <w:rPr>
          <w:sz w:val="28"/>
          <w:szCs w:val="28"/>
        </w:rPr>
        <w:t>82</w:t>
      </w:r>
      <w:r>
        <w:rPr>
          <w:sz w:val="28"/>
          <w:szCs w:val="28"/>
        </w:rPr>
        <w:fldChar w:fldCharType="end"/>
      </w:r>
      <w:r>
        <w:rPr>
          <w:rFonts w:hint="eastAsia"/>
          <w:bCs/>
          <w:color w:val="auto"/>
          <w:sz w:val="28"/>
          <w:szCs w:val="28"/>
          <w:highlight w:val="none"/>
          <w:lang w:val="en-US" w:eastAsia="zh-CN"/>
        </w:rPr>
        <w:fldChar w:fldCharType="end"/>
      </w:r>
    </w:p>
    <w:p w14:paraId="2A9AFF67">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_Toc10396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5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自然保护地分布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_Toc10396 </w:instrText>
      </w:r>
      <w:r>
        <w:rPr>
          <w:sz w:val="28"/>
          <w:szCs w:val="28"/>
        </w:rPr>
        <w:fldChar w:fldCharType="separate"/>
      </w:r>
      <w:r>
        <w:rPr>
          <w:sz w:val="28"/>
          <w:szCs w:val="28"/>
        </w:rPr>
        <w:t>83</w:t>
      </w:r>
      <w:r>
        <w:rPr>
          <w:sz w:val="28"/>
          <w:szCs w:val="28"/>
        </w:rPr>
        <w:fldChar w:fldCharType="end"/>
      </w:r>
      <w:r>
        <w:rPr>
          <w:rFonts w:hint="eastAsia"/>
          <w:bCs/>
          <w:color w:val="auto"/>
          <w:sz w:val="28"/>
          <w:szCs w:val="28"/>
          <w:highlight w:val="none"/>
          <w:lang w:val="en-US" w:eastAsia="zh-CN"/>
        </w:rPr>
        <w:fldChar w:fldCharType="end"/>
      </w:r>
    </w:p>
    <w:p w14:paraId="47C7C258">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_Toc7348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6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历史遗留矿山分布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_Toc7348 </w:instrText>
      </w:r>
      <w:r>
        <w:rPr>
          <w:sz w:val="28"/>
          <w:szCs w:val="28"/>
        </w:rPr>
        <w:fldChar w:fldCharType="separate"/>
      </w:r>
      <w:r>
        <w:rPr>
          <w:sz w:val="28"/>
          <w:szCs w:val="28"/>
        </w:rPr>
        <w:t>84</w:t>
      </w:r>
      <w:r>
        <w:rPr>
          <w:sz w:val="28"/>
          <w:szCs w:val="28"/>
        </w:rPr>
        <w:fldChar w:fldCharType="end"/>
      </w:r>
      <w:r>
        <w:rPr>
          <w:rFonts w:hint="eastAsia"/>
          <w:bCs/>
          <w:color w:val="auto"/>
          <w:sz w:val="28"/>
          <w:szCs w:val="28"/>
          <w:highlight w:val="none"/>
          <w:lang w:val="en-US" w:eastAsia="zh-CN"/>
        </w:rPr>
        <w:fldChar w:fldCharType="end"/>
      </w:r>
    </w:p>
    <w:p w14:paraId="50D74B7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_Toc10817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7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城乡空间发展格局示意</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_Toc10817 </w:instrText>
      </w:r>
      <w:r>
        <w:rPr>
          <w:sz w:val="28"/>
          <w:szCs w:val="28"/>
        </w:rPr>
        <w:fldChar w:fldCharType="separate"/>
      </w:r>
      <w:r>
        <w:rPr>
          <w:sz w:val="28"/>
          <w:szCs w:val="28"/>
        </w:rPr>
        <w:t>85</w:t>
      </w:r>
      <w:r>
        <w:rPr>
          <w:sz w:val="28"/>
          <w:szCs w:val="28"/>
        </w:rPr>
        <w:fldChar w:fldCharType="end"/>
      </w:r>
      <w:r>
        <w:rPr>
          <w:rFonts w:hint="eastAsia"/>
          <w:bCs/>
          <w:color w:val="auto"/>
          <w:sz w:val="28"/>
          <w:szCs w:val="28"/>
          <w:highlight w:val="none"/>
          <w:lang w:val="en-US" w:eastAsia="zh-CN"/>
        </w:rPr>
        <w:fldChar w:fldCharType="end"/>
      </w:r>
    </w:p>
    <w:p w14:paraId="05F754FA">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_Toc23185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8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生态保护重要性评价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_Toc23185 </w:instrText>
      </w:r>
      <w:r>
        <w:rPr>
          <w:sz w:val="28"/>
          <w:szCs w:val="28"/>
        </w:rPr>
        <w:fldChar w:fldCharType="separate"/>
      </w:r>
      <w:r>
        <w:rPr>
          <w:sz w:val="28"/>
          <w:szCs w:val="28"/>
        </w:rPr>
        <w:t>86</w:t>
      </w:r>
      <w:r>
        <w:rPr>
          <w:sz w:val="28"/>
          <w:szCs w:val="28"/>
        </w:rPr>
        <w:fldChar w:fldCharType="end"/>
      </w:r>
      <w:r>
        <w:rPr>
          <w:rFonts w:hint="eastAsia"/>
          <w:bCs/>
          <w:color w:val="auto"/>
          <w:sz w:val="28"/>
          <w:szCs w:val="28"/>
          <w:highlight w:val="none"/>
          <w:lang w:val="en-US" w:eastAsia="zh-CN"/>
        </w:rPr>
        <w:fldChar w:fldCharType="end"/>
      </w:r>
    </w:p>
    <w:p w14:paraId="5F24951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_Toc15210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9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生态服务功能重要性评价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_Toc15210 </w:instrText>
      </w:r>
      <w:r>
        <w:rPr>
          <w:sz w:val="28"/>
          <w:szCs w:val="28"/>
        </w:rPr>
        <w:fldChar w:fldCharType="separate"/>
      </w:r>
      <w:r>
        <w:rPr>
          <w:sz w:val="28"/>
          <w:szCs w:val="28"/>
        </w:rPr>
        <w:t>87</w:t>
      </w:r>
      <w:r>
        <w:rPr>
          <w:sz w:val="28"/>
          <w:szCs w:val="28"/>
        </w:rPr>
        <w:fldChar w:fldCharType="end"/>
      </w:r>
      <w:r>
        <w:rPr>
          <w:rFonts w:hint="eastAsia"/>
          <w:bCs/>
          <w:color w:val="auto"/>
          <w:sz w:val="28"/>
          <w:szCs w:val="28"/>
          <w:highlight w:val="none"/>
          <w:lang w:val="en-US" w:eastAsia="zh-CN"/>
        </w:rPr>
        <w:fldChar w:fldCharType="end"/>
      </w:r>
    </w:p>
    <w:p w14:paraId="6014F2E7">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_Toc3441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10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生态敏感性评价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_Toc3441 </w:instrText>
      </w:r>
      <w:r>
        <w:rPr>
          <w:sz w:val="28"/>
          <w:szCs w:val="28"/>
        </w:rPr>
        <w:fldChar w:fldCharType="separate"/>
      </w:r>
      <w:r>
        <w:rPr>
          <w:sz w:val="28"/>
          <w:szCs w:val="28"/>
        </w:rPr>
        <w:t>88</w:t>
      </w:r>
      <w:r>
        <w:rPr>
          <w:sz w:val="28"/>
          <w:szCs w:val="28"/>
        </w:rPr>
        <w:fldChar w:fldCharType="end"/>
      </w:r>
      <w:r>
        <w:rPr>
          <w:rFonts w:hint="eastAsia"/>
          <w:bCs/>
          <w:color w:val="auto"/>
          <w:sz w:val="28"/>
          <w:szCs w:val="28"/>
          <w:highlight w:val="none"/>
          <w:lang w:val="en-US" w:eastAsia="zh-CN"/>
        </w:rPr>
        <w:fldChar w:fldCharType="end"/>
      </w:r>
    </w:p>
    <w:p w14:paraId="0ACFD6F8">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_Toc7126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11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农业适宜性评价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_Toc7126 </w:instrText>
      </w:r>
      <w:r>
        <w:rPr>
          <w:sz w:val="28"/>
          <w:szCs w:val="28"/>
        </w:rPr>
        <w:fldChar w:fldCharType="separate"/>
      </w:r>
      <w:r>
        <w:rPr>
          <w:sz w:val="28"/>
          <w:szCs w:val="28"/>
        </w:rPr>
        <w:t>89</w:t>
      </w:r>
      <w:r>
        <w:rPr>
          <w:sz w:val="28"/>
          <w:szCs w:val="28"/>
        </w:rPr>
        <w:fldChar w:fldCharType="end"/>
      </w:r>
      <w:r>
        <w:rPr>
          <w:rFonts w:hint="eastAsia"/>
          <w:bCs/>
          <w:color w:val="auto"/>
          <w:sz w:val="28"/>
          <w:szCs w:val="28"/>
          <w:highlight w:val="none"/>
          <w:lang w:val="en-US" w:eastAsia="zh-CN"/>
        </w:rPr>
        <w:fldChar w:fldCharType="end"/>
      </w:r>
    </w:p>
    <w:p w14:paraId="0852CBF6">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_Toc31919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12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城镇适宜性评价</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_Toc31919 </w:instrText>
      </w:r>
      <w:r>
        <w:rPr>
          <w:sz w:val="28"/>
          <w:szCs w:val="28"/>
        </w:rPr>
        <w:fldChar w:fldCharType="separate"/>
      </w:r>
      <w:r>
        <w:rPr>
          <w:sz w:val="28"/>
          <w:szCs w:val="28"/>
        </w:rPr>
        <w:t>90</w:t>
      </w:r>
      <w:r>
        <w:rPr>
          <w:sz w:val="28"/>
          <w:szCs w:val="28"/>
        </w:rPr>
        <w:fldChar w:fldCharType="end"/>
      </w:r>
      <w:r>
        <w:rPr>
          <w:rFonts w:hint="eastAsia"/>
          <w:bCs/>
          <w:color w:val="auto"/>
          <w:sz w:val="28"/>
          <w:szCs w:val="28"/>
          <w:highlight w:val="none"/>
          <w:lang w:val="en-US" w:eastAsia="zh-CN"/>
        </w:rPr>
        <w:fldChar w:fldCharType="end"/>
      </w:r>
    </w:p>
    <w:p w14:paraId="31E4895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_Toc10679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13  国家和江西省关于</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主体功能区划</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_Toc10679 </w:instrText>
      </w:r>
      <w:r>
        <w:rPr>
          <w:sz w:val="28"/>
          <w:szCs w:val="28"/>
        </w:rPr>
        <w:fldChar w:fldCharType="separate"/>
      </w:r>
      <w:r>
        <w:rPr>
          <w:sz w:val="28"/>
          <w:szCs w:val="28"/>
        </w:rPr>
        <w:t>91</w:t>
      </w:r>
      <w:r>
        <w:rPr>
          <w:sz w:val="28"/>
          <w:szCs w:val="28"/>
        </w:rPr>
        <w:fldChar w:fldCharType="end"/>
      </w:r>
      <w:r>
        <w:rPr>
          <w:rFonts w:hint="eastAsia"/>
          <w:bCs/>
          <w:color w:val="auto"/>
          <w:sz w:val="28"/>
          <w:szCs w:val="28"/>
          <w:highlight w:val="none"/>
          <w:lang w:val="en-US" w:eastAsia="zh-CN"/>
        </w:rPr>
        <w:fldChar w:fldCharType="end"/>
      </w:r>
    </w:p>
    <w:p w14:paraId="1855FB9A">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_Toc6354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14  </w:t>
      </w:r>
      <w:r>
        <w:rPr>
          <w:rFonts w:hint="eastAsia" w:ascii="仿宋" w:hAnsi="仿宋" w:eastAsia="仿宋" w:cs="仿宋"/>
          <w:sz w:val="28"/>
          <w:szCs w:val="28"/>
          <w:highlight w:val="none"/>
          <w:lang w:bidi="ar"/>
        </w:rPr>
        <w:t>龙南市</w:t>
      </w:r>
      <w:r>
        <w:rPr>
          <w:rFonts w:hint="eastAsia" w:ascii="仿宋" w:hAnsi="仿宋" w:eastAsia="仿宋" w:cs="仿宋"/>
          <w:sz w:val="28"/>
          <w:szCs w:val="28"/>
          <w:highlight w:val="none"/>
          <w:lang w:val="en-US" w:eastAsia="zh-CN" w:bidi="ar"/>
        </w:rPr>
        <w:t>生态安全格局示意</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_Toc6354 </w:instrText>
      </w:r>
      <w:r>
        <w:rPr>
          <w:sz w:val="28"/>
          <w:szCs w:val="28"/>
        </w:rPr>
        <w:fldChar w:fldCharType="separate"/>
      </w:r>
      <w:r>
        <w:rPr>
          <w:sz w:val="28"/>
          <w:szCs w:val="28"/>
        </w:rPr>
        <w:t>92</w:t>
      </w:r>
      <w:r>
        <w:rPr>
          <w:sz w:val="28"/>
          <w:szCs w:val="28"/>
        </w:rPr>
        <w:fldChar w:fldCharType="end"/>
      </w:r>
      <w:r>
        <w:rPr>
          <w:rFonts w:hint="eastAsia"/>
          <w:bCs/>
          <w:color w:val="auto"/>
          <w:sz w:val="28"/>
          <w:szCs w:val="28"/>
          <w:highlight w:val="none"/>
          <w:lang w:val="en-US" w:eastAsia="zh-CN"/>
        </w:rPr>
        <w:fldChar w:fldCharType="end"/>
      </w:r>
    </w:p>
    <w:p w14:paraId="4B6E6E69">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_Toc31258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附图1</w:t>
      </w:r>
      <w:r>
        <w:rPr>
          <w:rFonts w:hint="eastAsia" w:ascii="仿宋" w:hAnsi="仿宋" w:eastAsia="仿宋" w:cs="仿宋"/>
          <w:sz w:val="28"/>
          <w:szCs w:val="28"/>
          <w:highlight w:val="none"/>
          <w:lang w:val="en-US" w:eastAsia="zh-CN" w:bidi="ar"/>
        </w:rPr>
        <w:t xml:space="preserve">5  </w:t>
      </w:r>
      <w:r>
        <w:rPr>
          <w:rFonts w:hint="eastAsia" w:ascii="仿宋" w:hAnsi="仿宋" w:eastAsia="仿宋" w:cs="仿宋"/>
          <w:sz w:val="28"/>
          <w:szCs w:val="28"/>
          <w:highlight w:val="none"/>
          <w:lang w:bidi="ar"/>
        </w:rPr>
        <w:t>龙南市生态修复总体布局图</w:t>
      </w:r>
      <w:r>
        <w:rPr>
          <w:sz w:val="28"/>
          <w:szCs w:val="28"/>
        </w:rPr>
        <w:tab/>
      </w:r>
      <w:r>
        <w:rPr>
          <w:sz w:val="28"/>
          <w:szCs w:val="28"/>
        </w:rPr>
        <w:fldChar w:fldCharType="begin"/>
      </w:r>
      <w:r>
        <w:rPr>
          <w:sz w:val="28"/>
          <w:szCs w:val="28"/>
        </w:rPr>
        <w:instrText xml:space="preserve"> PAGEREF _Toc31258 </w:instrText>
      </w:r>
      <w:r>
        <w:rPr>
          <w:sz w:val="28"/>
          <w:szCs w:val="28"/>
        </w:rPr>
        <w:fldChar w:fldCharType="separate"/>
      </w:r>
      <w:r>
        <w:rPr>
          <w:sz w:val="28"/>
          <w:szCs w:val="28"/>
        </w:rPr>
        <w:t>93</w:t>
      </w:r>
      <w:r>
        <w:rPr>
          <w:sz w:val="28"/>
          <w:szCs w:val="28"/>
        </w:rPr>
        <w:fldChar w:fldCharType="end"/>
      </w:r>
      <w:r>
        <w:rPr>
          <w:rFonts w:hint="eastAsia"/>
          <w:bCs/>
          <w:color w:val="auto"/>
          <w:sz w:val="28"/>
          <w:szCs w:val="28"/>
          <w:highlight w:val="none"/>
          <w:lang w:val="en-US" w:eastAsia="zh-CN"/>
        </w:rPr>
        <w:fldChar w:fldCharType="end"/>
      </w:r>
    </w:p>
    <w:p w14:paraId="32589D6C">
      <w:pPr>
        <w:pStyle w:val="12"/>
        <w:keepNext w:val="0"/>
        <w:keepLines w:val="0"/>
        <w:pageBreakBefore w:val="0"/>
        <w:widowControl w:val="0"/>
        <w:tabs>
          <w:tab w:val="right" w:leader="dot" w:pos="8306"/>
        </w:tabs>
        <w:kinsoku/>
        <w:wordWrap/>
        <w:overflowPunct/>
        <w:topLinePunct w:val="0"/>
        <w:autoSpaceDE/>
        <w:autoSpaceDN/>
        <w:bidi w:val="0"/>
        <w:adjustRightInd/>
        <w:snapToGrid/>
        <w:spacing w:line="360" w:lineRule="auto"/>
        <w:textAlignment w:val="auto"/>
        <w:rPr>
          <w:sz w:val="28"/>
          <w:szCs w:val="28"/>
        </w:rPr>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_Toc22248 </w:instrText>
      </w:r>
      <w:r>
        <w:rPr>
          <w:rFonts w:hint="eastAsia"/>
          <w:bCs/>
          <w:sz w:val="28"/>
          <w:szCs w:val="28"/>
          <w:highlight w:val="none"/>
          <w:lang w:val="en-US" w:eastAsia="zh-CN"/>
        </w:rPr>
        <w:fldChar w:fldCharType="separate"/>
      </w:r>
      <w:r>
        <w:rPr>
          <w:rFonts w:hint="eastAsia" w:ascii="仿宋" w:hAnsi="仿宋" w:eastAsia="仿宋" w:cs="仿宋"/>
          <w:sz w:val="28"/>
          <w:szCs w:val="28"/>
          <w:highlight w:val="none"/>
          <w:lang w:bidi="ar"/>
        </w:rPr>
        <w:t>附图</w:t>
      </w:r>
      <w:r>
        <w:rPr>
          <w:rFonts w:hint="eastAsia" w:ascii="仿宋" w:hAnsi="仿宋" w:eastAsia="仿宋" w:cs="仿宋"/>
          <w:sz w:val="28"/>
          <w:szCs w:val="28"/>
          <w:highlight w:val="none"/>
          <w:lang w:val="en-US" w:eastAsia="zh-CN" w:bidi="ar"/>
        </w:rPr>
        <w:t xml:space="preserve">16  </w:t>
      </w:r>
      <w:r>
        <w:rPr>
          <w:rFonts w:hint="eastAsia" w:ascii="仿宋" w:hAnsi="仿宋" w:eastAsia="仿宋" w:cs="仿宋"/>
          <w:sz w:val="28"/>
          <w:szCs w:val="28"/>
          <w:highlight w:val="none"/>
          <w:lang w:bidi="ar"/>
        </w:rPr>
        <w:t>龙南市生态修复</w:t>
      </w:r>
      <w:r>
        <w:rPr>
          <w:rFonts w:hint="eastAsia" w:ascii="仿宋" w:hAnsi="仿宋" w:eastAsia="仿宋" w:cs="仿宋"/>
          <w:sz w:val="28"/>
          <w:szCs w:val="28"/>
          <w:highlight w:val="none"/>
          <w:lang w:val="en-US" w:eastAsia="zh-CN" w:bidi="ar"/>
        </w:rPr>
        <w:t>重大工程分布</w:t>
      </w:r>
      <w:r>
        <w:rPr>
          <w:rFonts w:hint="eastAsia" w:ascii="仿宋" w:hAnsi="仿宋" w:eastAsia="仿宋" w:cs="仿宋"/>
          <w:sz w:val="28"/>
          <w:szCs w:val="28"/>
          <w:highlight w:val="none"/>
          <w:lang w:bidi="ar"/>
        </w:rPr>
        <w:t>图</w:t>
      </w:r>
      <w:r>
        <w:rPr>
          <w:sz w:val="28"/>
          <w:szCs w:val="28"/>
        </w:rPr>
        <w:tab/>
      </w:r>
      <w:r>
        <w:rPr>
          <w:sz w:val="28"/>
          <w:szCs w:val="28"/>
        </w:rPr>
        <w:fldChar w:fldCharType="begin"/>
      </w:r>
      <w:r>
        <w:rPr>
          <w:sz w:val="28"/>
          <w:szCs w:val="28"/>
        </w:rPr>
        <w:instrText xml:space="preserve"> PAGEREF _Toc22248 </w:instrText>
      </w:r>
      <w:r>
        <w:rPr>
          <w:sz w:val="28"/>
          <w:szCs w:val="28"/>
        </w:rPr>
        <w:fldChar w:fldCharType="separate"/>
      </w:r>
      <w:r>
        <w:rPr>
          <w:sz w:val="28"/>
          <w:szCs w:val="28"/>
        </w:rPr>
        <w:t>94</w:t>
      </w:r>
      <w:r>
        <w:rPr>
          <w:sz w:val="28"/>
          <w:szCs w:val="28"/>
        </w:rPr>
        <w:fldChar w:fldCharType="end"/>
      </w:r>
      <w:r>
        <w:rPr>
          <w:rFonts w:hint="eastAsia"/>
          <w:bCs/>
          <w:color w:val="auto"/>
          <w:sz w:val="28"/>
          <w:szCs w:val="28"/>
          <w:highlight w:val="none"/>
          <w:lang w:val="en-US" w:eastAsia="zh-CN"/>
        </w:rPr>
        <w:fldChar w:fldCharType="end"/>
      </w:r>
    </w:p>
    <w:p w14:paraId="434CC867">
      <w:pPr>
        <w:pStyle w:val="11"/>
        <w:keepNext w:val="0"/>
        <w:keepLines w:val="0"/>
        <w:pageBreakBefore w:val="0"/>
        <w:widowControl w:val="0"/>
        <w:tabs>
          <w:tab w:val="right" w:leader="dot" w:pos="8306"/>
        </w:tabs>
        <w:kinsoku/>
        <w:wordWrap/>
        <w:overflowPunct/>
        <w:topLinePunct w:val="0"/>
        <w:autoSpaceDE/>
        <w:autoSpaceDN/>
        <w:bidi w:val="0"/>
        <w:adjustRightInd/>
        <w:snapToGrid/>
        <w:spacing w:before="157" w:beforeLines="50" w:line="360" w:lineRule="auto"/>
        <w:textAlignment w:val="auto"/>
      </w:pPr>
      <w:r>
        <w:rPr>
          <w:rFonts w:hint="eastAsia"/>
          <w:bCs/>
          <w:color w:val="auto"/>
          <w:sz w:val="28"/>
          <w:szCs w:val="28"/>
          <w:highlight w:val="none"/>
          <w:lang w:val="en-US" w:eastAsia="zh-CN"/>
        </w:rPr>
        <w:fldChar w:fldCharType="begin"/>
      </w:r>
      <w:r>
        <w:rPr>
          <w:rFonts w:hint="eastAsia"/>
          <w:bCs/>
          <w:sz w:val="28"/>
          <w:szCs w:val="28"/>
          <w:highlight w:val="none"/>
          <w:lang w:val="en-US" w:eastAsia="zh-CN"/>
        </w:rPr>
        <w:instrText xml:space="preserve"> HYPERLINK \l _Toc22841 </w:instrText>
      </w:r>
      <w:r>
        <w:rPr>
          <w:rFonts w:hint="eastAsia"/>
          <w:bCs/>
          <w:sz w:val="28"/>
          <w:szCs w:val="28"/>
          <w:highlight w:val="none"/>
          <w:lang w:val="en-US" w:eastAsia="zh-CN"/>
        </w:rPr>
        <w:fldChar w:fldCharType="separate"/>
      </w:r>
      <w:r>
        <w:rPr>
          <w:rFonts w:hint="eastAsia"/>
          <w:bCs/>
          <w:sz w:val="28"/>
          <w:szCs w:val="28"/>
          <w:highlight w:val="none"/>
          <w:lang w:val="en-US" w:eastAsia="zh-CN"/>
        </w:rPr>
        <w:t>附件       征求意见和建议</w:t>
      </w:r>
      <w:r>
        <w:rPr>
          <w:sz w:val="28"/>
          <w:szCs w:val="28"/>
        </w:rPr>
        <w:tab/>
      </w:r>
      <w:r>
        <w:rPr>
          <w:sz w:val="28"/>
          <w:szCs w:val="28"/>
        </w:rPr>
        <w:fldChar w:fldCharType="begin"/>
      </w:r>
      <w:r>
        <w:rPr>
          <w:sz w:val="28"/>
          <w:szCs w:val="28"/>
        </w:rPr>
        <w:instrText xml:space="preserve"> PAGEREF _Toc22841 </w:instrText>
      </w:r>
      <w:r>
        <w:rPr>
          <w:sz w:val="28"/>
          <w:szCs w:val="28"/>
        </w:rPr>
        <w:fldChar w:fldCharType="separate"/>
      </w:r>
      <w:r>
        <w:rPr>
          <w:sz w:val="28"/>
          <w:szCs w:val="28"/>
        </w:rPr>
        <w:t>95</w:t>
      </w:r>
      <w:r>
        <w:rPr>
          <w:sz w:val="28"/>
          <w:szCs w:val="28"/>
        </w:rPr>
        <w:fldChar w:fldCharType="end"/>
      </w:r>
      <w:r>
        <w:rPr>
          <w:rFonts w:hint="eastAsia"/>
          <w:bCs/>
          <w:color w:val="auto"/>
          <w:sz w:val="28"/>
          <w:szCs w:val="28"/>
          <w:highlight w:val="none"/>
          <w:lang w:val="en-US" w:eastAsia="zh-CN"/>
        </w:rPr>
        <w:fldChar w:fldCharType="end"/>
      </w:r>
    </w:p>
    <w:p w14:paraId="6BBF4987">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9"/>
        <w:rPr>
          <w:rFonts w:hint="eastAsia" w:ascii="仿宋" w:hAnsi="仿宋" w:eastAsia="仿宋" w:cs="仿宋"/>
          <w:b/>
          <w:bCs/>
          <w:color w:val="auto"/>
          <w:sz w:val="28"/>
          <w:szCs w:val="28"/>
          <w:highlight w:val="none"/>
          <w:lang w:val="en-US" w:eastAsia="zh-CN"/>
        </w:rPr>
      </w:pPr>
      <w:r>
        <w:rPr>
          <w:rFonts w:hint="eastAsia"/>
          <w:bCs/>
          <w:color w:val="auto"/>
          <w:szCs w:val="28"/>
          <w:highlight w:val="none"/>
          <w:lang w:val="en-US" w:eastAsia="zh-CN"/>
        </w:rPr>
        <w:fldChar w:fldCharType="end"/>
      </w:r>
    </w:p>
    <w:p w14:paraId="4E923963">
      <w:pPr>
        <w:keepNext w:val="0"/>
        <w:keepLines w:val="0"/>
        <w:pageBreakBefore w:val="0"/>
        <w:widowControl w:val="0"/>
        <w:shd w:val="clear"/>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z w:val="28"/>
          <w:szCs w:val="28"/>
          <w:highlight w:val="none"/>
          <w:lang w:val="en-US" w:eastAsia="zh-CN"/>
        </w:rPr>
      </w:pPr>
    </w:p>
    <w:p w14:paraId="3ECBEFCA">
      <w:pPr>
        <w:keepNext w:val="0"/>
        <w:keepLines w:val="0"/>
        <w:pageBreakBefore w:val="0"/>
        <w:widowControl w:val="0"/>
        <w:shd w:val="clear"/>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z w:val="28"/>
          <w:szCs w:val="28"/>
          <w:highlight w:val="none"/>
          <w:lang w:val="en-US" w:eastAsia="zh-CN"/>
        </w:rPr>
      </w:pPr>
    </w:p>
    <w:p w14:paraId="441441F1">
      <w:pPr>
        <w:keepNext w:val="0"/>
        <w:keepLines w:val="0"/>
        <w:pageBreakBefore w:val="0"/>
        <w:widowControl w:val="0"/>
        <w:shd w:val="clear"/>
        <w:kinsoku/>
        <w:wordWrap/>
        <w:overflowPunct/>
        <w:topLinePunct w:val="0"/>
        <w:autoSpaceDE/>
        <w:autoSpaceDN/>
        <w:bidi w:val="0"/>
        <w:adjustRightInd/>
        <w:snapToGrid/>
        <w:jc w:val="left"/>
        <w:textAlignment w:val="auto"/>
        <w:outlineLvl w:val="9"/>
        <w:rPr>
          <w:rFonts w:hint="eastAsia" w:ascii="仿宋" w:hAnsi="仿宋" w:eastAsia="仿宋" w:cs="仿宋"/>
          <w:b/>
          <w:bCs/>
          <w:color w:val="auto"/>
          <w:sz w:val="28"/>
          <w:szCs w:val="28"/>
          <w:highlight w:val="none"/>
          <w:lang w:val="en-US" w:eastAsia="zh-CN"/>
        </w:rPr>
        <w:sectPr>
          <w:pgSz w:w="11906" w:h="16838"/>
          <w:pgMar w:top="1440" w:right="1800" w:bottom="1440" w:left="1800" w:header="851" w:footer="992" w:gutter="0"/>
          <w:cols w:space="720" w:num="1"/>
          <w:rtlGutter w:val="0"/>
          <w:docGrid w:linePitch="312" w:charSpace="0"/>
        </w:sectPr>
      </w:pPr>
    </w:p>
    <w:p w14:paraId="1ED10992">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4" w:name="_Toc3405"/>
      <w:r>
        <w:rPr>
          <w:rFonts w:hint="eastAsia"/>
          <w:b/>
          <w:bCs/>
          <w:color w:val="auto"/>
          <w:sz w:val="36"/>
          <w:szCs w:val="36"/>
          <w:highlight w:val="none"/>
          <w:lang w:val="en-US" w:eastAsia="zh-CN"/>
        </w:rPr>
        <w:t>一、规划编制</w:t>
      </w:r>
      <w:bookmarkEnd w:id="3"/>
      <w:r>
        <w:rPr>
          <w:rFonts w:hint="eastAsia"/>
          <w:b/>
          <w:bCs/>
          <w:color w:val="auto"/>
          <w:sz w:val="36"/>
          <w:szCs w:val="36"/>
          <w:highlight w:val="none"/>
          <w:lang w:val="en-US" w:eastAsia="zh-CN"/>
        </w:rPr>
        <w:t>背景</w:t>
      </w:r>
      <w:bookmarkEnd w:id="4"/>
    </w:p>
    <w:p w14:paraId="13DA1812">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仿宋"/>
          <w:b/>
          <w:bCs/>
          <w:color w:val="auto"/>
          <w:sz w:val="32"/>
          <w:szCs w:val="32"/>
          <w:highlight w:val="none"/>
          <w:lang w:val="en-US" w:eastAsia="zh-CN"/>
        </w:rPr>
      </w:pPr>
      <w:bookmarkStart w:id="5" w:name="_Toc18195"/>
      <w:r>
        <w:rPr>
          <w:rFonts w:hint="eastAsia" w:ascii="Times New Roman" w:hAnsi="Times New Roman" w:eastAsia="仿宋" w:cs="Times New Roman"/>
          <w:b/>
          <w:bCs/>
          <w:color w:val="auto"/>
          <w:sz w:val="32"/>
          <w:szCs w:val="32"/>
          <w:highlight w:val="none"/>
          <w:lang w:val="en-US" w:eastAsia="zh-CN"/>
        </w:rPr>
        <w:t>（一）规划编制意义</w:t>
      </w:r>
      <w:bookmarkEnd w:id="5"/>
    </w:p>
    <w:p w14:paraId="162DDA19">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生态修复是功在当代、利在千秋的事业，生态修复规划是实施生态修复、推进生态文明建设的纲领性文件之一。生态文明建设事关国家安全，事关永续发展，事关民族未来。党的十八大首次把生态文明建设纳入中国特色社会主义建设“五位一体”总体布局，党的十九大将“坚持人与自然和谐共生”纳入新时代发展中国特色社会主义的总体方略，把“绿水青山就是金山银山”写入党章，第十三届全国人民代表大会将建设“美丽中国”和“生态文明”写入宪法，生态文明建设被提高到空前的历史高度和战略地位。2018年4月9日，党的十九届三中全会审议通过的《中共中央关于深化党和国家机构改革的决定》，赋予了自然资源部门“统一行使全民所有自然资源资产所有者职责，统一行使所有国土空间用途管制和生态修复职责”。</w:t>
      </w:r>
    </w:p>
    <w:p w14:paraId="7BD32783">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国务院新一轮机构改革加快推进生态文明建设，提出编制实施国土空间生态修复规划这一创新举措，加大力度推进山水林田湖草生命共同体的全方位系统综合治理。国土空间生态修复规划定位于对国土空间生态修复活动的统筹谋划和总体设计，是在一定时间周期、一定国土空间范围内开展生态保护修复活动的指导性、纲领性文件。其核心是通过研究编制规划，统筹设计国土空间生态修复活动的实施范围、预期目标、工程内容、技术要求、投资计划和实施路径，以有效保障和综合提升国土空间生态修复活动的生态效益、社会效益、经济效益。科学编制国土空间生态修复规划，成为系统实施国土空间生态修复重大工程的优先任务。</w:t>
      </w:r>
    </w:p>
    <w:p w14:paraId="61961BE0">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江西省是国家生态文明试验区，省委、政府高度重视生态文明建设工作。20世纪90年代末期以来，特别是进入新世纪后，江西大力开展了赣州市山水林田湖草生态保护修复试点、赣南等原中央苏区农村土地整治重大工程、森林湿地湖泊生态保护和修复、耕地保护和修复、矿山地质环境恢复治理等工作，系统推进了龙南市山水林田湖草综合治理与修复、矿山环境恢复治理等生态保护和整治修复工作，水土流失面积持续减少，林草覆盖情况明显改观，沟坡丘壑土地得到有效整治，农田土壤污染得到较好控制，有效改善了稀土矿区流域水质，生态环境质量得到有效提升，全市国土空间修复得到长足发展。</w:t>
      </w:r>
    </w:p>
    <w:p w14:paraId="7933D48A">
      <w:pPr>
        <w:shd w:val="clear"/>
        <w:spacing w:line="580" w:lineRule="exact"/>
        <w:ind w:firstLine="640" w:firstLineChars="200"/>
        <w:rPr>
          <w:rFonts w:hint="eastAsia" w:ascii="Times New Roman" w:hAnsi="Times New Roman" w:eastAsia="仿宋" w:cs="Times New Roman"/>
          <w:color w:val="auto"/>
          <w:kern w:val="10"/>
          <w:sz w:val="32"/>
          <w:szCs w:val="32"/>
          <w:highlight w:val="none"/>
          <w:lang w:val="en-US" w:eastAsia="zh-CN" w:bidi="ar-SA"/>
        </w:rPr>
      </w:pPr>
      <w:r>
        <w:rPr>
          <w:rFonts w:hint="eastAsia" w:ascii="Times New Roman" w:hAnsi="Times New Roman" w:eastAsia="仿宋" w:cs="Times New Roman"/>
          <w:color w:val="auto"/>
          <w:kern w:val="10"/>
          <w:sz w:val="32"/>
          <w:szCs w:val="32"/>
          <w:highlight w:val="none"/>
          <w:lang w:val="en-US" w:eastAsia="zh-CN" w:bidi="ar-SA"/>
        </w:rPr>
        <w:t>龙南市地处赣江流域和珠江流域分水岭、赣江上游源头区，水资源丰富，是鄱阳湖的重要补给区，是长江流域下游的重要水源区，是国家重要的水源涵养生态功能区，也是我国南方地区重要的生态屏障，生态地位非常重要。在</w:t>
      </w:r>
      <w:r>
        <w:rPr>
          <w:rFonts w:hint="eastAsia" w:ascii="Times New Roman" w:hAnsi="Times New Roman" w:eastAsia="仿宋" w:cs="Times New Roman"/>
          <w:color w:val="auto"/>
          <w:kern w:val="10"/>
          <w:sz w:val="32"/>
          <w:szCs w:val="32"/>
          <w:highlight w:val="none"/>
          <w:lang w:val="zh-TW" w:eastAsia="zh-CN" w:bidi="ar-SA"/>
        </w:rPr>
        <w:t>国家推进新时代支持革命老区振兴发展，</w:t>
      </w:r>
      <w:r>
        <w:rPr>
          <w:rFonts w:hint="eastAsia" w:ascii="Times New Roman" w:hAnsi="Times New Roman" w:eastAsia="仿宋" w:cs="Times New Roman"/>
          <w:color w:val="auto"/>
          <w:kern w:val="10"/>
          <w:sz w:val="32"/>
          <w:szCs w:val="32"/>
          <w:highlight w:val="none"/>
          <w:lang w:val="en-US" w:eastAsia="zh-CN" w:bidi="ar-SA"/>
        </w:rPr>
        <w:t>助力</w:t>
      </w:r>
      <w:r>
        <w:rPr>
          <w:rFonts w:hint="eastAsia" w:ascii="Times New Roman" w:hAnsi="Times New Roman" w:eastAsia="仿宋" w:cs="Times New Roman"/>
          <w:color w:val="auto"/>
          <w:kern w:val="10"/>
          <w:sz w:val="32"/>
          <w:szCs w:val="32"/>
          <w:highlight w:val="none"/>
          <w:lang w:val="zh-TW" w:eastAsia="zh-CN" w:bidi="ar-SA"/>
        </w:rPr>
        <w:t>赣州打造对接融入粤港澳大湾区桥头堡、建设省域副中心城市和革命老区高质量发展示范区</w:t>
      </w:r>
      <w:r>
        <w:rPr>
          <w:rFonts w:hint="eastAsia" w:ascii="Times New Roman" w:hAnsi="Times New Roman" w:eastAsia="仿宋" w:cs="Times New Roman"/>
          <w:color w:val="auto"/>
          <w:kern w:val="10"/>
          <w:sz w:val="32"/>
          <w:szCs w:val="32"/>
          <w:highlight w:val="none"/>
          <w:lang w:val="en-US" w:eastAsia="zh-CN" w:bidi="ar-SA"/>
        </w:rPr>
        <w:t>的形势下</w:t>
      </w:r>
      <w:r>
        <w:rPr>
          <w:rFonts w:hint="eastAsia" w:ascii="Times New Roman" w:hAnsi="Times New Roman" w:eastAsia="仿宋" w:cs="Times New Roman"/>
          <w:color w:val="auto"/>
          <w:kern w:val="10"/>
          <w:sz w:val="32"/>
          <w:szCs w:val="32"/>
          <w:highlight w:val="none"/>
          <w:lang w:val="zh-TW" w:eastAsia="zh-CN" w:bidi="ar-SA"/>
        </w:rPr>
        <w:t>，</w:t>
      </w:r>
      <w:r>
        <w:rPr>
          <w:rFonts w:hint="eastAsia" w:ascii="Times New Roman" w:hAnsi="Times New Roman" w:eastAsia="仿宋" w:cs="Times New Roman"/>
          <w:color w:val="auto"/>
          <w:kern w:val="10"/>
          <w:sz w:val="32"/>
          <w:szCs w:val="32"/>
          <w:highlight w:val="none"/>
          <w:lang w:val="en-US" w:eastAsia="zh-CN" w:bidi="ar-SA"/>
        </w:rPr>
        <w:t>生态保护与经济发展矛盾越发突出，在2020年6月龙南撤县设市后生态文明建设和经济社会发展水平不断提高、资源环境承载压力越来越大以及严格执行“三线一单”管控的背景下，推动龙南市国土空间生态修复，不仅是促进“生存线”“保障线”“生态线”和“发展线”建设的重要手段，也是优化全市国土空间生态安全格局，把龙南建设成为赣州市次中心城市、打造</w:t>
      </w:r>
      <w:r>
        <w:rPr>
          <w:rFonts w:hint="eastAsia" w:ascii="仿宋" w:hAnsi="仿宋" w:eastAsia="仿宋" w:cs="仿宋"/>
          <w:i w:val="0"/>
          <w:caps w:val="0"/>
          <w:color w:val="auto"/>
          <w:spacing w:val="0"/>
          <w:sz w:val="32"/>
          <w:szCs w:val="32"/>
          <w:highlight w:val="none"/>
          <w:shd w:val="clear" w:fill="FFFFFF"/>
        </w:rPr>
        <w:t>赣深高铁沿线</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工业强、旅游旺、城乡美、百姓富</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明珠市</w:t>
      </w:r>
      <w:r>
        <w:rPr>
          <w:rFonts w:hint="eastAsia" w:ascii="仿宋" w:hAnsi="仿宋" w:eastAsia="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革命老区高质量发展示范区</w:t>
      </w:r>
      <w:r>
        <w:rPr>
          <w:rFonts w:hint="eastAsia" w:ascii="仿宋" w:hAnsi="仿宋" w:eastAsia="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龙南样板</w:t>
      </w:r>
      <w:r>
        <w:rPr>
          <w:rFonts w:hint="eastAsia" w:ascii="仿宋" w:hAnsi="仿宋" w:eastAsia="仿宋" w:cs="仿宋"/>
          <w:i w:val="0"/>
          <w:caps w:val="0"/>
          <w:color w:val="auto"/>
          <w:spacing w:val="0"/>
          <w:sz w:val="32"/>
          <w:szCs w:val="32"/>
          <w:highlight w:val="none"/>
          <w:shd w:val="clear" w:fill="FFFFFF"/>
          <w:lang w:eastAsia="zh-CN"/>
        </w:rPr>
        <w:t>”</w:t>
      </w:r>
      <w:r>
        <w:rPr>
          <w:rFonts w:hint="eastAsia" w:ascii="Times New Roman" w:hAnsi="Times New Roman" w:eastAsia="仿宋" w:cs="Times New Roman"/>
          <w:color w:val="auto"/>
          <w:kern w:val="10"/>
          <w:sz w:val="32"/>
          <w:szCs w:val="32"/>
          <w:highlight w:val="none"/>
          <w:lang w:val="en-US" w:eastAsia="zh-CN" w:bidi="ar-SA"/>
        </w:rPr>
        <w:t>的重要举措和必要路径。</w:t>
      </w:r>
    </w:p>
    <w:p w14:paraId="389B6130">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 w:name="_Toc6321"/>
      <w:r>
        <w:rPr>
          <w:rFonts w:hint="eastAsia" w:ascii="Times New Roman" w:hAnsi="Times New Roman" w:eastAsia="仿宋" w:cs="Times New Roman"/>
          <w:b/>
          <w:bCs/>
          <w:color w:val="auto"/>
          <w:sz w:val="32"/>
          <w:szCs w:val="32"/>
          <w:highlight w:val="none"/>
          <w:lang w:val="en-US" w:eastAsia="zh-CN"/>
        </w:rPr>
        <w:t>（二）省级层面对规划编制的需求</w:t>
      </w:r>
      <w:bookmarkEnd w:id="6"/>
    </w:p>
    <w:p w14:paraId="6EE29BA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推进开展国土空间生态修复是功在当代、利在千秋的事业，编制实施国土空间生态修复规划是依法履行统一行使所有国土空间生态保护修复职责、推进生态文明建设的重要方式。为贯彻落实《全国重要生态系统保护和修复重大工程规划(2021-2035年)》,充分衔接《江西省“十四五”国土空间生态修复规划》，统筹谋划辖区内国土空间生态修复工作,科学推进山水林田湖草沙综合治理，推动重大工程项目落地。</w:t>
      </w:r>
    </w:p>
    <w:p w14:paraId="15F0BA2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省自然资源厅办公厅于2021年7月29日下发了《江西省自然资源厅办公室关于开展市县级国土空间生态修复规划编制工作通知》（赣自然资办发〔2021〕67号），文件明确了规划定位、总体思路、规划期限、规划任务、规划目标和规划编制程序和主要成果要求，通知要求：</w:t>
      </w:r>
    </w:p>
    <w:p w14:paraId="7B48D30E">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指导思想</w:t>
      </w:r>
    </w:p>
    <w:p w14:paraId="3303106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县级生态修复规划要以习近平新时代中国特色社会主义思想为指导，深入贯彻落实习近平生态文明思想和习近平总书记视察江西重要讲话精神，坚持人与自然和谐共生，遵循绿色发展理念，以全面提升长江经济带和鄱阳湖流域重要生态安全屏障质量为目标，以统筹山水林田湖草沙一体化保护和修复为主线，以系统解决核心生态问题为导向，以流域上下游与自然地理单元为布局，分时序组织实施生态系统保护修复工程，着力提升生态系统质量，切实增强生态系统稳定性，全面扩大优质生态产品供给，建立健全生态修复体制机制，推进形成生态保护和修复新格局，为维护国家和区域生态安全、推进生态文明治理体系和治理能力现代化、加快建设美丽中国“龙南样板”奠定坚实生态基础。</w:t>
      </w:r>
    </w:p>
    <w:p w14:paraId="1978AC23">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规划定位</w:t>
      </w:r>
    </w:p>
    <w:p w14:paraId="5B48B2A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通知指出县级规划属于同级国土空间总体规划的专项规划，是对国家、省级国土空间生态修复规划目标任务的细化落实,是对本行政区域国土空间生态修复工作的具体安排，侧重项目实施性和操作性。</w:t>
      </w:r>
    </w:p>
    <w:p w14:paraId="6B568C64">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规划期划定</w:t>
      </w:r>
    </w:p>
    <w:p w14:paraId="2C4982E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《规划》以2020年为规划基准年，2025年为规划目标年，展望至2035年。</w:t>
      </w:r>
    </w:p>
    <w:p w14:paraId="7D075C2D">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规划范围</w:t>
      </w:r>
    </w:p>
    <w:p w14:paraId="6EC085F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规划范围包括行政辖区内全部国土空间。龙南市行政管辖范围内国土总面积1646平方公里。</w:t>
      </w:r>
    </w:p>
    <w:p w14:paraId="51138F09">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leftChars="0"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5. 规划目标</w:t>
      </w:r>
    </w:p>
    <w:p w14:paraId="0338248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综合考虑生态系统的完整性和连通性，结合社会经济发展趋势，依据相关标准，落实上级规划，衔接同级规划，在区域生态功能定位、生态现状和生态问题判识基础上，坚持上下衔接、左右协同、精准定位、落实传导的原则，重点从国土空间格局优化、受损重要生态系统修复、生态系统质量改善、生态系统服务功能提升、规划任务完成考核等方面，科学落实2025年目标，提出约束性和预期性指标。</w:t>
      </w:r>
    </w:p>
    <w:p w14:paraId="52B9719F">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 w:name="_Toc25074"/>
      <w:r>
        <w:rPr>
          <w:rFonts w:hint="eastAsia" w:ascii="Times New Roman" w:hAnsi="Times New Roman" w:eastAsia="仿宋" w:cs="Times New Roman"/>
          <w:b/>
          <w:bCs/>
          <w:color w:val="auto"/>
          <w:sz w:val="32"/>
          <w:szCs w:val="32"/>
          <w:highlight w:val="none"/>
          <w:lang w:val="en-US" w:eastAsia="zh-CN"/>
        </w:rPr>
        <w:t>（三）市级层面对规划编制的需求</w:t>
      </w:r>
      <w:bookmarkEnd w:id="7"/>
    </w:p>
    <w:p w14:paraId="7461EB0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赣州市已进入坚持生态优先、绿色发展为导向的高质量跨越式发展的关键阶段，生态环境保护面临重要的战略机遇。市委、市政府高度重视全市生态文明建设工作。2015年3月6日，习近平总书记在参加十二届全国人大三次会议江西代表团审议时，殷殷嘱托“绿色生态是江西最大财富、最大优势、最大品牌，一定要保护好，做好治山理水、显山露水的文章，走出一条经济发展和生态文明相辅相成、相得益彰的路子，打造美丽中国的江西样板”。为此，市委市政府先后出台了《赣州市人民政府关于进一步加强水土保持工作的意见》、《市委办公厅</w:t>
      </w:r>
      <w:r>
        <w:rPr>
          <w:rFonts w:hint="default" w:ascii="Times New Roman" w:hAnsi="Times New Roman" w:eastAsia="仿宋" w:cs="Times New Roman"/>
          <w:color w:val="auto"/>
          <w:sz w:val="32"/>
          <w:szCs w:val="28"/>
          <w:highlight w:val="none"/>
          <w:lang w:val="en-US" w:eastAsia="zh-CN"/>
        </w:rPr>
        <w:t xml:space="preserve"> 市政府办公厅关于印发〈赣州市全面推行河长制工作方案（修订）〉的通知》（赣市办字〔2017〕</w:t>
      </w:r>
      <w:r>
        <w:rPr>
          <w:rFonts w:hint="eastAsia" w:ascii="Times New Roman" w:hAnsi="Times New Roman" w:eastAsia="仿宋" w:cs="Times New Roman"/>
          <w:color w:val="auto"/>
          <w:sz w:val="32"/>
          <w:szCs w:val="28"/>
          <w:highlight w:val="none"/>
          <w:lang w:val="en-US" w:eastAsia="zh-CN"/>
        </w:rPr>
        <w:t>43</w:t>
      </w:r>
      <w:r>
        <w:rPr>
          <w:rFonts w:hint="default" w:ascii="Times New Roman" w:hAnsi="Times New Roman" w:eastAsia="仿宋" w:cs="Times New Roman"/>
          <w:color w:val="auto"/>
          <w:sz w:val="32"/>
          <w:szCs w:val="28"/>
          <w:highlight w:val="none"/>
          <w:lang w:val="en-US" w:eastAsia="zh-CN"/>
        </w:rPr>
        <w:t>号）</w:t>
      </w:r>
      <w:r>
        <w:rPr>
          <w:rFonts w:hint="eastAsia" w:ascii="Times New Roman" w:hAnsi="Times New Roman" w:eastAsia="仿宋" w:cs="Times New Roman"/>
          <w:color w:val="auto"/>
          <w:sz w:val="32"/>
          <w:szCs w:val="28"/>
          <w:highlight w:val="none"/>
          <w:lang w:val="en-US" w:eastAsia="zh-CN"/>
        </w:rPr>
        <w:t>、</w:t>
      </w:r>
      <w:r>
        <w:rPr>
          <w:rFonts w:hint="default" w:ascii="Times New Roman" w:hAnsi="Times New Roman" w:eastAsia="仿宋" w:cs="Times New Roman"/>
          <w:color w:val="auto"/>
          <w:sz w:val="32"/>
          <w:szCs w:val="28"/>
          <w:highlight w:val="none"/>
          <w:lang w:val="en-US" w:eastAsia="zh-CN"/>
        </w:rPr>
        <w:t>《市委办公厅 市政府办公厅关于印发〈赣州市实施湖长制工作方案〉的通知》（赣市办字〔</w:t>
      </w:r>
      <w:r>
        <w:rPr>
          <w:rFonts w:hint="eastAsia" w:ascii="Times New Roman" w:hAnsi="Times New Roman" w:eastAsia="仿宋" w:cs="Times New Roman"/>
          <w:color w:val="auto"/>
          <w:sz w:val="32"/>
          <w:szCs w:val="28"/>
          <w:highlight w:val="none"/>
          <w:lang w:val="en-US" w:eastAsia="zh-CN"/>
        </w:rPr>
        <w:t>2018</w:t>
      </w:r>
      <w:r>
        <w:rPr>
          <w:rFonts w:hint="default"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lang w:val="en-US" w:eastAsia="zh-CN"/>
        </w:rPr>
        <w:t>27</w:t>
      </w:r>
      <w:r>
        <w:rPr>
          <w:rFonts w:hint="default" w:ascii="Times New Roman" w:hAnsi="Times New Roman" w:eastAsia="仿宋" w:cs="Times New Roman"/>
          <w:color w:val="auto"/>
          <w:sz w:val="32"/>
          <w:szCs w:val="28"/>
          <w:highlight w:val="none"/>
          <w:lang w:val="en-US" w:eastAsia="zh-CN"/>
        </w:rPr>
        <w:t>号）</w:t>
      </w:r>
      <w:r>
        <w:rPr>
          <w:rFonts w:hint="eastAsia" w:ascii="Times New Roman" w:hAnsi="Times New Roman" w:eastAsia="仿宋" w:cs="Times New Roman"/>
          <w:color w:val="auto"/>
          <w:sz w:val="32"/>
          <w:szCs w:val="28"/>
          <w:highlight w:val="none"/>
          <w:lang w:val="en-US" w:eastAsia="zh-CN"/>
        </w:rPr>
        <w:t>、《赣州市废弃稀土矿山环境治理项目后期管护管理办法（试行）》、《关于进一步规范推进赣州市城乡建设用地增减挂钩工作的实施意见》、《赣州市总林长令</w:t>
      </w:r>
      <w:r>
        <w:rPr>
          <w:rFonts w:hint="default"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lang w:val="en-US" w:eastAsia="zh-CN"/>
        </w:rPr>
        <w:t>2021</w:t>
      </w:r>
      <w:r>
        <w:rPr>
          <w:rFonts w:hint="default"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lang w:val="en-US" w:eastAsia="zh-CN"/>
        </w:rPr>
        <w:t>1</w:t>
      </w:r>
      <w:r>
        <w:rPr>
          <w:rFonts w:hint="default" w:ascii="Times New Roman" w:hAnsi="Times New Roman" w:eastAsia="仿宋" w:cs="Times New Roman"/>
          <w:color w:val="auto"/>
          <w:sz w:val="32"/>
          <w:szCs w:val="28"/>
          <w:highlight w:val="none"/>
          <w:lang w:val="en-US" w:eastAsia="zh-CN"/>
        </w:rPr>
        <w:t>号</w:t>
      </w:r>
      <w:r>
        <w:rPr>
          <w:rFonts w:hint="eastAsia" w:ascii="Times New Roman" w:hAnsi="Times New Roman" w:eastAsia="仿宋" w:cs="Times New Roman"/>
          <w:color w:val="auto"/>
          <w:sz w:val="32"/>
          <w:szCs w:val="28"/>
          <w:highlight w:val="none"/>
          <w:lang w:val="en-US" w:eastAsia="zh-CN"/>
        </w:rPr>
        <w:t>》、《赣州市生态环境违法行为举报奖励暂行办法》、《赣州市人民政府关于全力实施裸露山体增绿复绿工作的通知》等一系列政策指导性文件。</w:t>
      </w:r>
    </w:p>
    <w:p w14:paraId="2BE4A01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十四五”期间，为进一步贯彻习近平生态文明思想，依法履行统一行使所有国土空间生态保护修复职责，统筹和科学推进山水林田湖草沙一体化保护修复，根据市委、市政府《关于统一规划体系更好发挥市发展规划战略导向作用的实施意见》（赣发〔2019〕12号）和市政府办公室《关于印发赣州市“十四五”规划编制工作方案的通知》（赣市府办字〔2019〕40号）要求，为做好我市“十四五”专项规划及区域规划编制工作，市发改委下发了《关于市“十四五”专项规划和区域规划编制工作有关问题的通知》，其中《赣州市“十四五”国土空间生态修复规划》为专项规划之一。通知明确了《赣州市“十四五”国土空间生态修复规划》编制分工。以市自然资源局牵头，市发改委、市生态环境局、市农业农村局、市林业局、市水利局、市水土保持中心等单位配合。</w:t>
      </w:r>
    </w:p>
    <w:p w14:paraId="3C7EF69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通知提出了规划编制的文本框架包含5部分内容，包括前言、规划基础和面临形势，指导思想、基本原则和规划目标，国土空间生态修复总体布局，重点任务和重大工程以及规划实施保障措施等。明确了编制程序，应执行起草、衔接、论证、审批和发布等制度。</w:t>
      </w:r>
    </w:p>
    <w:p w14:paraId="3E948D8D">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 w:name="_Toc23314"/>
      <w:r>
        <w:rPr>
          <w:rFonts w:hint="eastAsia" w:ascii="Times New Roman" w:hAnsi="Times New Roman" w:eastAsia="仿宋" w:cs="Times New Roman"/>
          <w:b/>
          <w:bCs/>
          <w:color w:val="auto"/>
          <w:sz w:val="32"/>
          <w:szCs w:val="32"/>
          <w:highlight w:val="none"/>
          <w:lang w:val="en-US" w:eastAsia="zh-CN"/>
        </w:rPr>
        <w:t>（四）县（区、市）级层面对规划编制的需求</w:t>
      </w:r>
      <w:bookmarkEnd w:id="8"/>
    </w:p>
    <w:p w14:paraId="30AA989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龙规划办字〔2020〕1号文《关于做好拟列入国家省市“十四五”规划及行业专项规划、区域发展规划“三个重大”事项谋划对接工作的通知》指出：“三个重大”事项的谋划，是龙南突破发展难题、争取上级支持、抢占发展先机的关键，也是最管用、最有效、最务实措施，更是落实习近平总书记关于“提前谋划启动一批‘十四五’规划重大工程项目”的要求。各单位要从龙南实情出发，对接粤港澳大湾区、长江经济带、新一轮赣南苏区振兴发展等国家战略布局及省市发展要求，站在赣南次中心、国家级经开区的定位高层次、高起点谋划跨区域发展重大事项，带动区域发展、影响区域发展的重大事项。谋划事项务必有理有据、得到上级认可。</w:t>
      </w:r>
    </w:p>
    <w:p w14:paraId="010323A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根据《江西省自然资源厅办公室关于开展市县级国土空间生态修复规划编制工作通知》（赣自然资办发〔2021〕67号）文件的要求，龙南市自然资源局委托江西赣南地质矿产集团有限公司（原江西赣南地质工程院）编制《龙南市“十四五”国土空间生态修复规划》（以下简称《规划》），并签订了《规划》编制项目合同书。合同要求：</w:t>
      </w:r>
    </w:p>
    <w:p w14:paraId="2518AFEC">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1、编制范围：</w:t>
      </w:r>
      <w:r>
        <w:rPr>
          <w:rFonts w:hint="eastAsia" w:ascii="Times New Roman" w:hAnsi="Times New Roman" w:eastAsia="仿宋" w:cs="Times New Roman"/>
          <w:color w:val="auto"/>
          <w:sz w:val="32"/>
          <w:szCs w:val="28"/>
          <w:highlight w:val="none"/>
          <w:lang w:val="en-US" w:eastAsia="zh-CN"/>
        </w:rPr>
        <w:t>龙南市行政全域1646平方公里范围。</w:t>
      </w:r>
    </w:p>
    <w:p w14:paraId="207E65EB">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2、总体思路。</w:t>
      </w:r>
      <w:r>
        <w:rPr>
          <w:rFonts w:hint="eastAsia" w:ascii="Times New Roman" w:hAnsi="Times New Roman" w:eastAsia="仿宋" w:cs="Times New Roman"/>
          <w:color w:val="auto"/>
          <w:sz w:val="32"/>
          <w:szCs w:val="28"/>
          <w:highlight w:val="none"/>
          <w:lang w:val="en-US" w:eastAsia="zh-CN"/>
        </w:rPr>
        <w:t>以全国和省级国土空间规划确定的生态、农业、城镇空间为对象，统筹山水林田湖草一体化保护修复，提升生态系统质量和稳定性，筑牢生态安全屏障，提供优质生态产品，助力国土空间格局优化，服务生态文明建设和高质量发展。</w:t>
      </w:r>
    </w:p>
    <w:p w14:paraId="0294C37B">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3、规划定位。</w:t>
      </w:r>
      <w:r>
        <w:rPr>
          <w:rFonts w:hint="eastAsia" w:ascii="Times New Roman" w:hAnsi="Times New Roman" w:eastAsia="仿宋" w:cs="Times New Roman"/>
          <w:color w:val="auto"/>
          <w:sz w:val="32"/>
          <w:szCs w:val="28"/>
          <w:highlight w:val="none"/>
          <w:lang w:val="en-US" w:eastAsia="zh-CN"/>
        </w:rPr>
        <w:t>国土空间生态修复规划是国土空间规划的重要专项规划。国土空间生态修复规划要依据国家、省级、市级国民经济和社会发展规划纲要、国土空间总体规划，衔接国家、省级、市级生态保护和自然资源利用规划、国家、省级、市级重要生态系统保护和修复重大工程总体规划等相关规划，落实国家、省级、市级生态保护格局、生态修复目标任务，维护国家生态安全、强化农田生态功能、提高城市生态品质。</w:t>
      </w:r>
    </w:p>
    <w:p w14:paraId="43F1C5CE">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4、开展综合评价。</w:t>
      </w:r>
      <w:r>
        <w:rPr>
          <w:rFonts w:hint="eastAsia" w:ascii="Times New Roman" w:hAnsi="Times New Roman" w:eastAsia="仿宋" w:cs="Times New Roman"/>
          <w:color w:val="auto"/>
          <w:sz w:val="32"/>
          <w:szCs w:val="28"/>
          <w:highlight w:val="none"/>
          <w:lang w:val="en-US" w:eastAsia="zh-CN"/>
        </w:rPr>
        <w:t>综合各类自然生态系统调查监测成果和本地自然地理、水资源、气象、地质、环境、社会经济状况等数据资料及研究成果，掌握国土空间生态现状。充分利用资源环境承载能力和国土空间开发适宜性评价等成果，定性与定量相结合，评估本地自然生态系统退化程度和恢复力水平，分析农业、城镇空间生态系统恢复修复和国土综合整治潜力，注重分析生态、农业、城镇三类空间冲突区域生态修复需求。</w:t>
      </w:r>
    </w:p>
    <w:p w14:paraId="051DAD12">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5、建设信息系统。</w:t>
      </w:r>
      <w:r>
        <w:rPr>
          <w:rFonts w:hint="eastAsia" w:ascii="Times New Roman" w:hAnsi="Times New Roman" w:eastAsia="仿宋" w:cs="Times New Roman"/>
          <w:color w:val="auto"/>
          <w:sz w:val="32"/>
          <w:szCs w:val="28"/>
          <w:highlight w:val="none"/>
          <w:lang w:val="en-US" w:eastAsia="zh-CN"/>
        </w:rPr>
        <w:t>基于区域自然资源“一张图”和国土空间基础信息平台，同步开展国土空间生态修复信息系统建设，实现基于生态现状的规划范围可查、实施区域可看、管理流程可溯、实施效果可评的生态修复全业务链管理，并与国土空间规划“一张图”衔接。</w:t>
      </w:r>
    </w:p>
    <w:p w14:paraId="10C11A5A">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6、谋划总体布局。</w:t>
      </w:r>
      <w:r>
        <w:rPr>
          <w:rFonts w:hint="eastAsia" w:ascii="Times New Roman" w:hAnsi="Times New Roman" w:eastAsia="仿宋" w:cs="Times New Roman"/>
          <w:color w:val="auto"/>
          <w:sz w:val="32"/>
          <w:szCs w:val="28"/>
          <w:highlight w:val="none"/>
          <w:lang w:val="en-US" w:eastAsia="zh-CN"/>
        </w:rPr>
        <w:t>坚持国家立场，突出问题导向，坚持陆海统筹，聚焦国家生态安全战略格局和区域生态安全重点地域（重点生态功能区、自然保护地、生态保护红线等），突出自然地理和生态系统的完整性、连通性，以重点流域、区域、海域等为基础单元，对接省级国土空间生态修复总体布局、合理分区、重点工程等，逐步推进国土空间全域生态保护修复，实行山水林田湖草整体保护、系统修复、综合治理。</w:t>
      </w:r>
    </w:p>
    <w:p w14:paraId="380AA81C">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7、明确目标指标。</w:t>
      </w:r>
      <w:r>
        <w:rPr>
          <w:rFonts w:hint="eastAsia" w:ascii="Times New Roman" w:hAnsi="Times New Roman" w:eastAsia="仿宋" w:cs="Times New Roman"/>
          <w:color w:val="auto"/>
          <w:sz w:val="32"/>
          <w:szCs w:val="28"/>
          <w:highlight w:val="none"/>
          <w:lang w:val="en-US" w:eastAsia="zh-CN"/>
        </w:rPr>
        <w:t>以山水林田湖草一体化保护修复为主线引领国土空间生态修复，促进安全、优质、美丽国土构建，提出到2025年、2030年、2035年分阶段目标。按照上下衔接、统分结合、简明科学等原则，提出约束性和预期性指标。</w:t>
      </w:r>
    </w:p>
    <w:p w14:paraId="5A0CFCF8">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8、突出科学修复。</w:t>
      </w:r>
      <w:r>
        <w:rPr>
          <w:rFonts w:hint="eastAsia" w:ascii="Times New Roman" w:hAnsi="Times New Roman" w:eastAsia="仿宋" w:cs="Times New Roman"/>
          <w:color w:val="auto"/>
          <w:sz w:val="32"/>
          <w:szCs w:val="28"/>
          <w:highlight w:val="none"/>
          <w:lang w:val="en-US" w:eastAsia="zh-CN"/>
        </w:rPr>
        <w:t>遵循生态系统演替规律，坚持自然恢复为主、避免过度人工干预，实行基于自然的生态修复。统筹森林、草原、河流、湖泊、湿地、荒漠、海洋等自然生态系统各要素及与农田、城市人工生态系统之间的协同性，注重地上地下、山上山下、岸上岸下、上游下游、河湖海洋的系统性，体现综合治理，突出整体效益。坚持以水而定、量水而行，宜耕则耕、宜林则林、宜灌则灌、宜草则草、宜湿则湿、宜荒则荒。</w:t>
      </w:r>
    </w:p>
    <w:p w14:paraId="6A73B584">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9、统筹分类施策。</w:t>
      </w:r>
      <w:r>
        <w:rPr>
          <w:rFonts w:hint="eastAsia" w:ascii="Times New Roman" w:hAnsi="Times New Roman" w:eastAsia="仿宋" w:cs="Times New Roman"/>
          <w:color w:val="auto"/>
          <w:sz w:val="32"/>
          <w:szCs w:val="28"/>
          <w:highlight w:val="none"/>
          <w:lang w:val="en-US" w:eastAsia="zh-CN"/>
        </w:rPr>
        <w:t>在生态功能空间，围绕水源涵养、水土保持、生物多样性维护、防风固沙、洪水调蓄等生态系统服务功能，针对各种生态退化、破坏问题，按生态系统恢复力程度，科学确定保育保护、自然恢复、辅助修复、生态重塑等生态修复目标和措施，维护生态安全，提升生态功能。</w:t>
      </w:r>
    </w:p>
    <w:p w14:paraId="4327D994">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10、形成规划成果。</w:t>
      </w:r>
      <w:r>
        <w:rPr>
          <w:rFonts w:hint="eastAsia" w:ascii="Times New Roman" w:hAnsi="Times New Roman" w:eastAsia="仿宋" w:cs="Times New Roman"/>
          <w:color w:val="auto"/>
          <w:sz w:val="32"/>
          <w:szCs w:val="28"/>
          <w:highlight w:val="none"/>
          <w:lang w:val="en-US" w:eastAsia="zh-CN"/>
        </w:rPr>
        <w:t>提出统筹和科学推进山水林田湖草一体化保护修复的总体思路、目标任务、主攻方向、重点工程、时序安排、资金测算、政策措施等，形成龙南市国土空间生态修复规划（2021-2035年）文本、说明、图件等成果。</w:t>
      </w:r>
    </w:p>
    <w:p w14:paraId="326AEC6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14:paraId="58B5A92D">
      <w:pPr>
        <w:pStyle w:val="3"/>
        <w:shd w:val="clear"/>
        <w:rPr>
          <w:rFonts w:ascii="Times New Roman" w:hAnsi="Times New Roman" w:eastAsia="仿宋" w:cs="Times New Roman"/>
          <w:color w:val="auto"/>
          <w:sz w:val="32"/>
          <w:highlight w:val="none"/>
        </w:rPr>
      </w:pPr>
    </w:p>
    <w:p w14:paraId="43A4B9A5">
      <w:pPr>
        <w:pStyle w:val="3"/>
        <w:shd w:val="clear"/>
        <w:rPr>
          <w:rFonts w:ascii="Times New Roman" w:hAnsi="Times New Roman" w:eastAsia="仿宋" w:cs="Times New Roman"/>
          <w:color w:val="auto"/>
          <w:sz w:val="32"/>
          <w:highlight w:val="none"/>
        </w:rPr>
        <w:sectPr>
          <w:footerReference r:id="rId3" w:type="default"/>
          <w:pgSz w:w="11906" w:h="16838"/>
          <w:pgMar w:top="1247" w:right="1474" w:bottom="1247" w:left="1587" w:header="851" w:footer="992" w:gutter="0"/>
          <w:pgNumType w:start="1"/>
          <w:cols w:space="720" w:num="1"/>
          <w:docGrid w:type="lines" w:linePitch="312" w:charSpace="0"/>
        </w:sectPr>
      </w:pPr>
    </w:p>
    <w:p w14:paraId="4CA6F319">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9" w:name="_Toc25077_WPSOffice_Level1"/>
      <w:bookmarkStart w:id="10" w:name="_Toc893"/>
      <w:r>
        <w:rPr>
          <w:rFonts w:hint="eastAsia"/>
          <w:b/>
          <w:bCs/>
          <w:color w:val="auto"/>
          <w:sz w:val="36"/>
          <w:szCs w:val="36"/>
          <w:highlight w:val="none"/>
          <w:lang w:val="en-US" w:eastAsia="zh-CN"/>
        </w:rPr>
        <w:t>二、</w:t>
      </w:r>
      <w:bookmarkEnd w:id="9"/>
      <w:r>
        <w:rPr>
          <w:rFonts w:hint="eastAsia"/>
          <w:b/>
          <w:bCs/>
          <w:color w:val="auto"/>
          <w:sz w:val="36"/>
          <w:szCs w:val="36"/>
          <w:highlight w:val="none"/>
          <w:lang w:val="en-US" w:eastAsia="zh-CN"/>
        </w:rPr>
        <w:t>规划编制过程</w:t>
      </w:r>
      <w:bookmarkEnd w:id="10"/>
    </w:p>
    <w:p w14:paraId="69473B6D">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1" w:name="_Toc25077_WPSOffice_Level2"/>
      <w:bookmarkStart w:id="12" w:name="_Toc22412"/>
      <w:r>
        <w:rPr>
          <w:rFonts w:hint="eastAsia" w:ascii="Times New Roman" w:hAnsi="Times New Roman" w:eastAsia="仿宋" w:cs="Times New Roman"/>
          <w:b/>
          <w:bCs/>
          <w:color w:val="auto"/>
          <w:sz w:val="32"/>
          <w:szCs w:val="32"/>
          <w:highlight w:val="none"/>
          <w:lang w:val="en-US" w:eastAsia="zh-CN"/>
        </w:rPr>
        <w:t>（一）</w:t>
      </w:r>
      <w:bookmarkEnd w:id="11"/>
      <w:r>
        <w:rPr>
          <w:rFonts w:hint="eastAsia" w:ascii="Times New Roman" w:hAnsi="Times New Roman" w:eastAsia="仿宋" w:cs="Times New Roman"/>
          <w:b/>
          <w:bCs/>
          <w:color w:val="auto"/>
          <w:sz w:val="32"/>
          <w:szCs w:val="32"/>
          <w:highlight w:val="none"/>
          <w:lang w:val="en-US" w:eastAsia="zh-CN"/>
        </w:rPr>
        <w:t>编制依据</w:t>
      </w:r>
      <w:bookmarkEnd w:id="12"/>
    </w:p>
    <w:p w14:paraId="1FA53CCB">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法律法规依据</w:t>
      </w:r>
    </w:p>
    <w:p w14:paraId="2431DE8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（1）《中华人民共和国土地管理法》（2019）</w:t>
      </w:r>
    </w:p>
    <w:p w14:paraId="35CB721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（2）《中华人民共和国环境保护法》（2014）</w:t>
      </w:r>
    </w:p>
    <w:p w14:paraId="2EFA5F1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（3）《中华人民共和国城乡规划法》（2019）</w:t>
      </w:r>
    </w:p>
    <w:p w14:paraId="7877F6F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rPr>
        <w:t>（4）《中华人民共和国长江保护法》（2020）</w:t>
      </w:r>
    </w:p>
    <w:p w14:paraId="394B13E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5）《中华人民共和国森林法》（2020）</w:t>
      </w:r>
    </w:p>
    <w:p w14:paraId="7541A77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（6）《中华人民共和国湿地保护法》（2021）</w:t>
      </w:r>
    </w:p>
    <w:p w14:paraId="0C5265A8">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党中央、江西省各级政府发展纲要</w:t>
      </w:r>
    </w:p>
    <w:p w14:paraId="1F41C43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rPr>
        <w:t>（1）党的十九大和十九届二中、三中、四中、五中全会重大决策部署，特别是十九届五中全会审议通过的《中共中央关于制定国民经济和社会发展第十四个五年规划和二</w:t>
      </w:r>
      <w:r>
        <w:rPr>
          <w:rFonts w:hint="eastAsia" w:ascii="Times New Roman" w:hAnsi="Times New Roman" w:eastAsia="仿宋_GB2312" w:cs="Times New Roman"/>
          <w:color w:val="auto"/>
          <w:sz w:val="32"/>
          <w:szCs w:val="28"/>
          <w:highlight w:val="none"/>
          <w:lang w:val="en-US" w:eastAsia="zh-CN"/>
        </w:rPr>
        <w:t>〇</w:t>
      </w:r>
      <w:r>
        <w:rPr>
          <w:rFonts w:hint="eastAsia" w:ascii="Times New Roman" w:hAnsi="Times New Roman" w:eastAsia="仿宋_GB2312" w:cs="Times New Roman"/>
          <w:color w:val="auto"/>
          <w:sz w:val="32"/>
          <w:szCs w:val="28"/>
          <w:highlight w:val="none"/>
        </w:rPr>
        <w:t>三五年远景目标的建议》</w:t>
      </w:r>
      <w:r>
        <w:rPr>
          <w:rFonts w:hint="eastAsia" w:ascii="Times New Roman" w:hAnsi="Times New Roman" w:eastAsia="仿宋_GB2312" w:cs="Times New Roman"/>
          <w:color w:val="auto"/>
          <w:sz w:val="32"/>
          <w:szCs w:val="28"/>
          <w:highlight w:val="none"/>
          <w:lang w:eastAsia="zh-CN"/>
        </w:rPr>
        <w:t>；</w:t>
      </w:r>
    </w:p>
    <w:p w14:paraId="0C61E61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（2）《</w:t>
      </w:r>
      <w:r>
        <w:rPr>
          <w:rFonts w:hint="eastAsia" w:ascii="Times New Roman" w:hAnsi="Times New Roman" w:eastAsia="仿宋_GB2312" w:cs="Times New Roman"/>
          <w:color w:val="auto"/>
          <w:sz w:val="32"/>
          <w:szCs w:val="28"/>
          <w:highlight w:val="none"/>
        </w:rPr>
        <w:t>中华人民共和国国民经济和社会发展第十四个五年规划和</w:t>
      </w:r>
      <w:r>
        <w:rPr>
          <w:rFonts w:hint="default" w:ascii="Times New Roman" w:hAnsi="Times New Roman" w:eastAsia="仿宋_GB2312" w:cs="Times New Roman"/>
          <w:color w:val="auto"/>
          <w:sz w:val="32"/>
          <w:szCs w:val="28"/>
          <w:highlight w:val="none"/>
        </w:rPr>
        <w:t>2035</w:t>
      </w:r>
      <w:r>
        <w:rPr>
          <w:rFonts w:hint="eastAsia" w:ascii="Times New Roman" w:hAnsi="Times New Roman" w:eastAsia="仿宋_GB2312" w:cs="Times New Roman"/>
          <w:color w:val="auto"/>
          <w:sz w:val="32"/>
          <w:szCs w:val="28"/>
          <w:highlight w:val="none"/>
        </w:rPr>
        <w:t>年远景目标纲要</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2021年3月12日）；</w:t>
      </w:r>
    </w:p>
    <w:p w14:paraId="3453337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（3）</w:t>
      </w:r>
      <w:r>
        <w:rPr>
          <w:rFonts w:hint="eastAsia" w:ascii="Times New Roman" w:hAnsi="Times New Roman" w:eastAsia="仿宋_GB2312" w:cs="Times New Roman"/>
          <w:color w:val="auto"/>
          <w:sz w:val="32"/>
          <w:szCs w:val="28"/>
          <w:highlight w:val="none"/>
        </w:rPr>
        <w:t>《江西省国民经济和社会发展第十四个五年规划和二〇三五年远景目标纲要》（赣府发〔2021〕5号）；</w:t>
      </w:r>
    </w:p>
    <w:p w14:paraId="188AEFE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（4）</w:t>
      </w:r>
      <w:r>
        <w:rPr>
          <w:rFonts w:hint="eastAsia" w:ascii="Times New Roman" w:hAnsi="Times New Roman" w:eastAsia="仿宋_GB2312" w:cs="Times New Roman"/>
          <w:color w:val="auto"/>
          <w:sz w:val="32"/>
          <w:szCs w:val="28"/>
          <w:highlight w:val="none"/>
        </w:rPr>
        <w:t>《赣州市国民经济和社会发展第十四个五年规划和二〇三五年远景目标纲要》</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赣市府发〔2021〕2号</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w:t>
      </w:r>
    </w:p>
    <w:p w14:paraId="70B3C73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（5）《龙南市国民经济和社会发展第十四个五年规划和二〇三五年远景目标纲要》（宁府字</w:t>
      </w:r>
      <w:r>
        <w:rPr>
          <w:rFonts w:hint="eastAsia" w:ascii="Times New Roman" w:hAnsi="Times New Roman" w:eastAsia="仿宋_GB2312" w:cs="Times New Roman"/>
          <w:color w:val="auto"/>
          <w:sz w:val="32"/>
          <w:szCs w:val="28"/>
          <w:highlight w:val="none"/>
        </w:rPr>
        <w:t>〔202</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val="en-US" w:eastAsia="zh-CN"/>
        </w:rPr>
        <w:t>12</w:t>
      </w:r>
      <w:r>
        <w:rPr>
          <w:rFonts w:hint="eastAsia" w:ascii="Times New Roman" w:hAnsi="Times New Roman" w:eastAsia="仿宋_GB2312" w:cs="Times New Roman"/>
          <w:color w:val="auto"/>
          <w:sz w:val="32"/>
          <w:szCs w:val="28"/>
          <w:highlight w:val="none"/>
        </w:rPr>
        <w:t>号）</w:t>
      </w:r>
      <w:r>
        <w:rPr>
          <w:rFonts w:hint="eastAsia" w:ascii="Times New Roman" w:hAnsi="Times New Roman" w:eastAsia="仿宋_GB2312" w:cs="Times New Roman"/>
          <w:color w:val="auto"/>
          <w:sz w:val="32"/>
          <w:szCs w:val="28"/>
          <w:highlight w:val="none"/>
          <w:lang w:val="en-US" w:eastAsia="zh-CN"/>
        </w:rPr>
        <w:t>。</w:t>
      </w:r>
    </w:p>
    <w:p w14:paraId="227B2987">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重大战略</w:t>
      </w:r>
    </w:p>
    <w:p w14:paraId="334C002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紧密围绕长江经济带发展、中部崛起发展战略、乡村振兴战略、生态文明建设战略等国家重大战略，江西省生态文明建设试验区实施方案、赣南苏区振兴意见、赣州市新时代革命老区振兴发展、打造对接粤港澳大湾区桥头堡、建设省域副中心城市，以及龙南市全面对接融入粤港澳大湾区、建设赣南次中心城市等区域发展重大战略。</w:t>
      </w:r>
    </w:p>
    <w:p w14:paraId="39C052B0">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政策文件</w:t>
      </w:r>
    </w:p>
    <w:p w14:paraId="62A0E10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rPr>
        <w:t>《中共中央国务院关于建立国土空间规划体系并监督实施的若干意见》（中发〔2019〕18号）；</w:t>
      </w:r>
    </w:p>
    <w:p w14:paraId="48D4EB4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2）</w:t>
      </w:r>
      <w:r>
        <w:rPr>
          <w:rFonts w:hint="eastAsia" w:ascii="Times New Roman" w:hAnsi="Times New Roman" w:eastAsia="仿宋_GB2312" w:cs="Times New Roman"/>
          <w:color w:val="auto"/>
          <w:sz w:val="32"/>
          <w:szCs w:val="28"/>
          <w:highlight w:val="none"/>
          <w:lang w:eastAsia="zh-CN"/>
        </w:rPr>
        <w:t>《关于建立以国家公园为主体的自然保护地体系的指导意见》（中办发</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42号）；</w:t>
      </w:r>
    </w:p>
    <w:p w14:paraId="1EDA835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3）</w:t>
      </w:r>
      <w:r>
        <w:rPr>
          <w:rFonts w:hint="eastAsia" w:ascii="Times New Roman" w:hAnsi="Times New Roman" w:eastAsia="仿宋_GB2312" w:cs="Times New Roman"/>
          <w:color w:val="auto"/>
          <w:sz w:val="32"/>
          <w:szCs w:val="28"/>
          <w:highlight w:val="none"/>
          <w:lang w:eastAsia="zh-CN"/>
        </w:rPr>
        <w:t>《关于建立健全生态产品价值实现机制的意见》（中发</w:t>
      </w:r>
      <w:r>
        <w:rPr>
          <w:rFonts w:hint="eastAsia" w:ascii="Times New Roman" w:hAnsi="Times New Roman" w:eastAsia="仿宋_GB2312" w:cs="Times New Roman"/>
          <w:color w:val="auto"/>
          <w:sz w:val="32"/>
          <w:szCs w:val="28"/>
          <w:highlight w:val="none"/>
        </w:rPr>
        <w:t>〔20</w:t>
      </w:r>
      <w:r>
        <w:rPr>
          <w:rFonts w:hint="eastAsia" w:ascii="Times New Roman" w:hAnsi="Times New Roman" w:eastAsia="仿宋_GB2312" w:cs="Times New Roman"/>
          <w:color w:val="auto"/>
          <w:sz w:val="32"/>
          <w:szCs w:val="28"/>
          <w:highlight w:val="none"/>
          <w:lang w:val="en-US" w:eastAsia="zh-CN"/>
        </w:rPr>
        <w:t>21</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eastAsia="zh-CN"/>
        </w:rPr>
        <w:t>24号）；</w:t>
      </w:r>
    </w:p>
    <w:p w14:paraId="34B57CD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4）</w:t>
      </w:r>
      <w:r>
        <w:rPr>
          <w:rFonts w:hint="eastAsia" w:ascii="Times New Roman" w:hAnsi="Times New Roman" w:eastAsia="仿宋_GB2312" w:cs="Times New Roman"/>
          <w:color w:val="auto"/>
          <w:sz w:val="32"/>
          <w:szCs w:val="28"/>
          <w:highlight w:val="none"/>
          <w:lang w:eastAsia="zh-CN"/>
        </w:rPr>
        <w:t>《关于在国土空间规划中统筹划定落实三条控制线的指导意见》（厅字</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48号）；</w:t>
      </w:r>
    </w:p>
    <w:p w14:paraId="2C8B03C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5）</w:t>
      </w:r>
      <w:r>
        <w:rPr>
          <w:rFonts w:hint="eastAsia" w:ascii="Times New Roman" w:hAnsi="Times New Roman" w:eastAsia="仿宋_GB2312" w:cs="Times New Roman"/>
          <w:color w:val="auto"/>
          <w:sz w:val="32"/>
          <w:szCs w:val="28"/>
          <w:highlight w:val="none"/>
          <w:lang w:eastAsia="zh-CN"/>
        </w:rPr>
        <w:t>《关于探索利用市场化方式推进矿山生态修复的意见》（自然资规</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6号）；</w:t>
      </w:r>
    </w:p>
    <w:p w14:paraId="00C394F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6）</w:t>
      </w:r>
      <w:r>
        <w:rPr>
          <w:rFonts w:hint="eastAsia" w:ascii="Times New Roman" w:hAnsi="Times New Roman" w:eastAsia="仿宋_GB2312" w:cs="Times New Roman"/>
          <w:color w:val="auto"/>
          <w:sz w:val="32"/>
          <w:szCs w:val="28"/>
          <w:highlight w:val="none"/>
          <w:lang w:eastAsia="zh-CN"/>
        </w:rPr>
        <w:t>《关于开展全域土地综合整治试点工作的通知》（自然资发</w:t>
      </w:r>
      <w:r>
        <w:rPr>
          <w:rFonts w:hint="eastAsia" w:ascii="Times New Roman" w:hAnsi="Times New Roman" w:eastAsia="仿宋_GB2312" w:cs="Times New Roman"/>
          <w:color w:val="auto"/>
          <w:sz w:val="32"/>
          <w:szCs w:val="28"/>
          <w:highlight w:val="none"/>
        </w:rPr>
        <w:t>〔2019〕</w:t>
      </w:r>
      <w:r>
        <w:rPr>
          <w:rFonts w:hint="eastAsia" w:ascii="Times New Roman" w:hAnsi="Times New Roman" w:eastAsia="仿宋_GB2312" w:cs="Times New Roman"/>
          <w:color w:val="auto"/>
          <w:sz w:val="32"/>
          <w:szCs w:val="28"/>
          <w:highlight w:val="none"/>
          <w:lang w:eastAsia="zh-CN"/>
        </w:rPr>
        <w:t>194号）；</w:t>
      </w:r>
    </w:p>
    <w:p w14:paraId="3741309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7）</w:t>
      </w:r>
      <w:r>
        <w:rPr>
          <w:rFonts w:hint="eastAsia" w:ascii="Times New Roman" w:hAnsi="Times New Roman" w:eastAsia="仿宋_GB2312" w:cs="Times New Roman"/>
          <w:color w:val="auto"/>
          <w:sz w:val="32"/>
          <w:szCs w:val="28"/>
          <w:highlight w:val="none"/>
          <w:lang w:eastAsia="zh-CN"/>
        </w:rPr>
        <w:t>《关于进一步做好山水林田湖草生态保护修复工程试点的通知》（财办资环</w:t>
      </w:r>
      <w:r>
        <w:rPr>
          <w:rFonts w:hint="eastAsia" w:ascii="Times New Roman" w:hAnsi="Times New Roman" w:eastAsia="仿宋_GB2312" w:cs="Times New Roman"/>
          <w:color w:val="auto"/>
          <w:sz w:val="32"/>
          <w:szCs w:val="28"/>
          <w:highlight w:val="none"/>
        </w:rPr>
        <w:t>〔20</w:t>
      </w:r>
      <w:r>
        <w:rPr>
          <w:rFonts w:hint="eastAsia" w:ascii="Times New Roman" w:hAnsi="Times New Roman" w:eastAsia="仿宋_GB2312" w:cs="Times New Roman"/>
          <w:color w:val="auto"/>
          <w:sz w:val="32"/>
          <w:szCs w:val="28"/>
          <w:highlight w:val="none"/>
          <w:lang w:val="en-US" w:eastAsia="zh-CN"/>
        </w:rPr>
        <w:t>20</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eastAsia="zh-CN"/>
        </w:rPr>
        <w:t>15号）；</w:t>
      </w:r>
    </w:p>
    <w:p w14:paraId="75E3357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8）</w:t>
      </w:r>
      <w:r>
        <w:rPr>
          <w:rFonts w:hint="eastAsia" w:ascii="Times New Roman" w:hAnsi="Times New Roman" w:eastAsia="仿宋_GB2312" w:cs="Times New Roman"/>
          <w:color w:val="auto"/>
          <w:sz w:val="32"/>
          <w:szCs w:val="28"/>
          <w:highlight w:val="none"/>
        </w:rPr>
        <w:t>《生态文明体制改革总体方案》（中共中央国务院 2015</w:t>
      </w:r>
      <w:r>
        <w:rPr>
          <w:rFonts w:hint="eastAsia" w:ascii="Times New Roman" w:hAnsi="Times New Roman" w:eastAsia="仿宋_GB2312" w:cs="Times New Roman"/>
          <w:color w:val="auto"/>
          <w:sz w:val="32"/>
          <w:szCs w:val="28"/>
          <w:highlight w:val="none"/>
          <w:lang w:val="en-US" w:eastAsia="zh-CN"/>
        </w:rPr>
        <w:t>年</w:t>
      </w:r>
      <w:r>
        <w:rPr>
          <w:rFonts w:hint="eastAsia" w:ascii="Times New Roman" w:hAnsi="Times New Roman" w:eastAsia="仿宋_GB2312" w:cs="Times New Roman"/>
          <w:color w:val="auto"/>
          <w:sz w:val="32"/>
          <w:szCs w:val="28"/>
          <w:highlight w:val="none"/>
        </w:rPr>
        <w:t>9</w:t>
      </w:r>
      <w:r>
        <w:rPr>
          <w:rFonts w:hint="eastAsia" w:ascii="Times New Roman" w:hAnsi="Times New Roman" w:eastAsia="仿宋_GB2312" w:cs="Times New Roman"/>
          <w:color w:val="auto"/>
          <w:sz w:val="32"/>
          <w:szCs w:val="28"/>
          <w:highlight w:val="none"/>
          <w:lang w:val="en-US" w:eastAsia="zh-CN"/>
        </w:rPr>
        <w:t>月</w:t>
      </w:r>
      <w:r>
        <w:rPr>
          <w:rFonts w:hint="eastAsia" w:ascii="Times New Roman" w:hAnsi="Times New Roman" w:eastAsia="仿宋_GB2312" w:cs="Times New Roman"/>
          <w:color w:val="auto"/>
          <w:sz w:val="32"/>
          <w:szCs w:val="28"/>
          <w:highlight w:val="none"/>
        </w:rPr>
        <w:t>21</w:t>
      </w:r>
      <w:r>
        <w:rPr>
          <w:rFonts w:hint="eastAsia" w:ascii="Times New Roman" w:hAnsi="Times New Roman" w:eastAsia="仿宋_GB2312" w:cs="Times New Roman"/>
          <w:color w:val="auto"/>
          <w:sz w:val="32"/>
          <w:szCs w:val="28"/>
          <w:highlight w:val="none"/>
          <w:lang w:val="en-US" w:eastAsia="zh-CN"/>
        </w:rPr>
        <w:t>日</w:t>
      </w:r>
      <w:r>
        <w:rPr>
          <w:rFonts w:hint="eastAsia" w:ascii="Times New Roman" w:hAnsi="Times New Roman" w:eastAsia="仿宋_GB2312" w:cs="Times New Roman"/>
          <w:color w:val="auto"/>
          <w:sz w:val="32"/>
          <w:szCs w:val="28"/>
          <w:highlight w:val="none"/>
        </w:rPr>
        <w:t>）；</w:t>
      </w:r>
    </w:p>
    <w:p w14:paraId="2A05ADD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9）</w:t>
      </w:r>
      <w:r>
        <w:rPr>
          <w:rFonts w:hint="eastAsia" w:ascii="Times New Roman" w:hAnsi="Times New Roman" w:eastAsia="仿宋_GB2312" w:cs="Times New Roman"/>
          <w:color w:val="auto"/>
          <w:sz w:val="32"/>
          <w:szCs w:val="28"/>
          <w:highlight w:val="none"/>
        </w:rPr>
        <w:t>中共中央办公厅国务院办公厅印发《关于统筹推进自然资源资产产权制度改革的指导意见》（2019）；</w:t>
      </w:r>
    </w:p>
    <w:p w14:paraId="4AF785F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（10）</w:t>
      </w:r>
      <w:r>
        <w:rPr>
          <w:rFonts w:hint="eastAsia" w:ascii="Times New Roman" w:hAnsi="Times New Roman" w:eastAsia="仿宋_GB2312" w:cs="Times New Roman"/>
          <w:color w:val="auto"/>
          <w:sz w:val="32"/>
          <w:szCs w:val="28"/>
          <w:highlight w:val="none"/>
        </w:rPr>
        <w:t>《国务院办公厅关于切实加强高标准农田建设提升国家粮食安全保障能力的意见》（国办发〔2019〕50号）；</w:t>
      </w:r>
    </w:p>
    <w:p w14:paraId="4C4D123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（11</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《自然资源部关于全面开展国土空间规划工作的通知》（自然资发〔2019〕87号）；</w:t>
      </w:r>
    </w:p>
    <w:p w14:paraId="13E55AC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（12</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自然资源部办公厅关于印发《资源环境承载能力和国土空间开发适宜性评价指南（试行）》的函（自然资办函〔2020〕127号）；</w:t>
      </w:r>
    </w:p>
    <w:p w14:paraId="7D00A19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（13</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《自然资源部办公厅关于加强村庄规划促进乡村振兴的通知》（自然资办发〔2019〕35号）；</w:t>
      </w:r>
    </w:p>
    <w:p w14:paraId="65EC59D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1</w:t>
      </w:r>
      <w:r>
        <w:rPr>
          <w:rFonts w:hint="eastAsia" w:ascii="Times New Roman" w:hAnsi="Times New Roman" w:eastAsia="仿宋_GB2312" w:cs="Times New Roman"/>
          <w:color w:val="auto"/>
          <w:sz w:val="32"/>
          <w:szCs w:val="28"/>
          <w:highlight w:val="none"/>
          <w:lang w:val="en-US" w:eastAsia="zh-CN"/>
        </w:rPr>
        <w:t>4</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 xml:space="preserve">《自然资源部办公厅关于开展2019年度土地储备资产核算及资金需求统计工作的函》（自然资办函〔2019〕103号） </w:t>
      </w:r>
    </w:p>
    <w:p w14:paraId="74B11BB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1</w:t>
      </w:r>
      <w:r>
        <w:rPr>
          <w:rFonts w:hint="eastAsia" w:ascii="Times New Roman" w:hAnsi="Times New Roman" w:eastAsia="仿宋_GB2312" w:cs="Times New Roman"/>
          <w:color w:val="auto"/>
          <w:sz w:val="32"/>
          <w:szCs w:val="28"/>
          <w:highlight w:val="none"/>
          <w:lang w:val="en-US" w:eastAsia="zh-CN"/>
        </w:rPr>
        <w:t>5</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《自然资源部农业农村部关于加强和改进永久基本农田保护工作的通知》（自然资规〔2019〕1号）</w:t>
      </w:r>
    </w:p>
    <w:p w14:paraId="28B0577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1</w:t>
      </w:r>
      <w:r>
        <w:rPr>
          <w:rFonts w:hint="eastAsia" w:ascii="Times New Roman" w:hAnsi="Times New Roman" w:eastAsia="仿宋_GB2312" w:cs="Times New Roman"/>
          <w:color w:val="auto"/>
          <w:sz w:val="32"/>
          <w:szCs w:val="28"/>
          <w:highlight w:val="none"/>
          <w:lang w:val="en-US" w:eastAsia="zh-CN"/>
        </w:rPr>
        <w:t>6</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《自然资源部办公厅关于开展长江经济带废弃露天矿山生态修复工作的通知》（2019）；</w:t>
      </w:r>
    </w:p>
    <w:p w14:paraId="74932DB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（17</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《自然资源部办公厅关于做好2019年度绿色矿山遴选工作的通知》（自然资办函〔2019〕965号）；</w:t>
      </w:r>
    </w:p>
    <w:p w14:paraId="0BE982E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val="en-US" w:eastAsia="zh-CN"/>
        </w:rPr>
        <w:t>（18</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关于开展省级国土空间生态修复规划编制工作的通知</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自然资办发〔20</w:t>
      </w:r>
      <w:r>
        <w:rPr>
          <w:rFonts w:hint="eastAsia" w:ascii="Times New Roman" w:hAnsi="Times New Roman" w:eastAsia="仿宋_GB2312" w:cs="Times New Roman"/>
          <w:color w:val="auto"/>
          <w:sz w:val="32"/>
          <w:szCs w:val="28"/>
          <w:highlight w:val="none"/>
          <w:lang w:val="en-US" w:eastAsia="zh-CN"/>
        </w:rPr>
        <w:t>20</w:t>
      </w:r>
      <w:r>
        <w:rPr>
          <w:rFonts w:hint="eastAsia" w:ascii="Times New Roman" w:hAnsi="Times New Roman" w:eastAsia="仿宋_GB2312" w:cs="Times New Roman"/>
          <w:color w:val="auto"/>
          <w:sz w:val="32"/>
          <w:szCs w:val="28"/>
          <w:highlight w:val="none"/>
        </w:rPr>
        <w:t>〕45号</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w:t>
      </w:r>
    </w:p>
    <w:p w14:paraId="6F9F06A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19</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《江西省发展改革委关于“十四五”专项规划和区域规划编制工作有关问题的通知》（赣发改规划〔2019〕347号）；</w:t>
      </w:r>
    </w:p>
    <w:p w14:paraId="6603670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2</w:t>
      </w:r>
      <w:r>
        <w:rPr>
          <w:rFonts w:hint="eastAsia" w:ascii="Times New Roman" w:hAnsi="Times New Roman" w:eastAsia="仿宋_GB2312" w:cs="Times New Roman"/>
          <w:color w:val="auto"/>
          <w:sz w:val="32"/>
          <w:szCs w:val="28"/>
          <w:highlight w:val="none"/>
          <w:lang w:val="en-US" w:eastAsia="zh-CN"/>
        </w:rPr>
        <w:t>0</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《江西省人民政府关于促进乡村产业振兴的实施意见》（赣府发〔2020〕12号）；</w:t>
      </w:r>
    </w:p>
    <w:p w14:paraId="371B21E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rPr>
      </w:pP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2</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《江西省人民政府印发关于支持赣州打造对接融入粤港澳大湾区桥头堡若干政策措施的通知》（赣府字〔2020〕39号</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rPr>
        <w:t>；</w:t>
      </w:r>
    </w:p>
    <w:p w14:paraId="6F11854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eastAsia="zh-CN"/>
        </w:rPr>
      </w:pPr>
      <w:r>
        <w:rPr>
          <w:rFonts w:hint="eastAsia" w:ascii="Times New Roman" w:hAnsi="Times New Roman" w:eastAsia="仿宋_GB2312" w:cs="Times New Roman"/>
          <w:color w:val="auto"/>
          <w:sz w:val="32"/>
          <w:szCs w:val="28"/>
          <w:highlight w:val="none"/>
          <w:lang w:val="en-US" w:eastAsia="zh-CN"/>
        </w:rPr>
        <w:t>（22）江西省住房和城乡建设厅 生态环境厅 林业局《</w:t>
      </w:r>
      <w:r>
        <w:rPr>
          <w:rFonts w:hint="eastAsia" w:ascii="Times New Roman" w:hAnsi="Times New Roman" w:eastAsia="仿宋_GB2312" w:cs="Times New Roman"/>
          <w:color w:val="auto"/>
          <w:sz w:val="32"/>
          <w:szCs w:val="28"/>
          <w:highlight w:val="none"/>
          <w:lang w:eastAsia="zh-CN"/>
        </w:rPr>
        <w:t>关于开展江西省生态园林城市（镇）建设工作的通知》（赣</w:t>
      </w:r>
      <w:r>
        <w:rPr>
          <w:rFonts w:hint="eastAsia" w:ascii="Times New Roman" w:hAnsi="Times New Roman" w:eastAsia="仿宋_GB2312" w:cs="Times New Roman"/>
          <w:color w:val="auto"/>
          <w:sz w:val="32"/>
          <w:szCs w:val="28"/>
          <w:highlight w:val="none"/>
          <w:lang w:val="en-US" w:eastAsia="zh-CN"/>
        </w:rPr>
        <w:t>建城</w:t>
      </w:r>
      <w:r>
        <w:rPr>
          <w:rFonts w:hint="eastAsia" w:ascii="Times New Roman" w:hAnsi="Times New Roman" w:eastAsia="仿宋_GB2312" w:cs="Times New Roman"/>
          <w:color w:val="auto"/>
          <w:sz w:val="32"/>
          <w:szCs w:val="28"/>
          <w:highlight w:val="none"/>
          <w:lang w:eastAsia="zh-CN"/>
        </w:rPr>
        <w:t>〔2020〕</w:t>
      </w:r>
      <w:r>
        <w:rPr>
          <w:rFonts w:hint="eastAsia" w:ascii="Times New Roman" w:hAnsi="Times New Roman" w:eastAsia="仿宋_GB2312" w:cs="Times New Roman"/>
          <w:color w:val="auto"/>
          <w:sz w:val="32"/>
          <w:szCs w:val="28"/>
          <w:highlight w:val="none"/>
          <w:lang w:val="en-US" w:eastAsia="zh-CN"/>
        </w:rPr>
        <w:t>53</w:t>
      </w:r>
      <w:r>
        <w:rPr>
          <w:rFonts w:hint="eastAsia" w:ascii="Times New Roman" w:hAnsi="Times New Roman" w:eastAsia="仿宋_GB2312" w:cs="Times New Roman"/>
          <w:color w:val="auto"/>
          <w:sz w:val="32"/>
          <w:szCs w:val="28"/>
          <w:highlight w:val="none"/>
          <w:lang w:eastAsia="zh-CN"/>
        </w:rPr>
        <w:t>号）；</w:t>
      </w:r>
    </w:p>
    <w:p w14:paraId="3436AA4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（23）《江西省自然资源厅办公室关于开展市县级国土空间生态修复规划编制工作通知》（赣自然资办发〔2021〕67号）；</w:t>
      </w:r>
    </w:p>
    <w:p w14:paraId="7ED8196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_GB2312" w:cs="Times New Roman"/>
          <w:color w:val="auto"/>
          <w:sz w:val="32"/>
          <w:szCs w:val="28"/>
          <w:highlight w:val="none"/>
          <w:lang w:val="en-US" w:eastAsia="zh-CN"/>
        </w:rPr>
        <w:t>（24）《江西省关于调整全省征地统一年产值标准和区片综合地价的通知》（赣府字〔2015〕81号）。</w:t>
      </w:r>
    </w:p>
    <w:p w14:paraId="440FEA2E">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5. 指南规范 </w:t>
      </w:r>
    </w:p>
    <w:p w14:paraId="6B978EA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《省级国土空间规划编制指南（试行）》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自然资源部，2020年1月）；</w:t>
      </w:r>
    </w:p>
    <w:p w14:paraId="0A88C94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rPr>
        <w:t>《资源环境承载能力和国土空间开发适宜性评价指南（试行）》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自然资源部，2020年1月）；</w:t>
      </w:r>
    </w:p>
    <w:p w14:paraId="5D31636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w:t>
      </w:r>
      <w:r>
        <w:rPr>
          <w:rFonts w:hint="eastAsia" w:ascii="Times New Roman" w:hAnsi="Times New Roman" w:eastAsia="仿宋" w:cs="Times New Roman"/>
          <w:color w:val="auto"/>
          <w:sz w:val="32"/>
          <w:szCs w:val="28"/>
          <w:highlight w:val="none"/>
        </w:rPr>
        <w:t>《市级国土空间总体规划编制指南（试行）》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自然资源部，2020年9月）；</w:t>
      </w:r>
    </w:p>
    <w:p w14:paraId="2FAB493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（4）</w:t>
      </w:r>
      <w:r>
        <w:rPr>
          <w:rFonts w:hint="eastAsia" w:ascii="Times New Roman" w:hAnsi="Times New Roman" w:eastAsia="仿宋" w:cs="Times New Roman"/>
          <w:color w:val="auto"/>
          <w:sz w:val="32"/>
          <w:szCs w:val="28"/>
          <w:highlight w:val="none"/>
        </w:rPr>
        <w:t>《山水林田湖草生态保护修复工程指南（试行）》</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自然资源部 财政部 生态环境部，2020年8月）；</w:t>
      </w:r>
    </w:p>
    <w:p w14:paraId="0052744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（5）《全域土地综合整治试点实施要点（试行）》（自然资生态修复函〔2020〕37号）；</w:t>
      </w:r>
    </w:p>
    <w:p w14:paraId="699AE38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6）</w:t>
      </w:r>
      <w:r>
        <w:rPr>
          <w:rFonts w:hint="eastAsia" w:ascii="Times New Roman" w:hAnsi="Times New Roman" w:eastAsia="仿宋" w:cs="Times New Roman"/>
          <w:color w:val="auto"/>
          <w:sz w:val="32"/>
          <w:szCs w:val="28"/>
          <w:highlight w:val="none"/>
        </w:rPr>
        <w:t>《江西省自然资源厅关于开展全域土地综合整治试点工作的实施意见》</w:t>
      </w:r>
      <w:r>
        <w:rPr>
          <w:rFonts w:hint="eastAsia" w:ascii="Times New Roman" w:hAnsi="Times New Roman" w:eastAsia="仿宋" w:cs="Times New Roman"/>
          <w:color w:val="auto"/>
          <w:sz w:val="32"/>
          <w:szCs w:val="28"/>
          <w:highlight w:val="none"/>
          <w:lang w:val="en-US" w:eastAsia="zh-CN"/>
        </w:rPr>
        <w:t>（赣自然资字〔2021〕10号）；</w:t>
      </w:r>
    </w:p>
    <w:p w14:paraId="054F925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7）</w:t>
      </w:r>
      <w:r>
        <w:rPr>
          <w:rFonts w:hint="eastAsia" w:ascii="Times New Roman" w:hAnsi="Times New Roman" w:eastAsia="仿宋" w:cs="Times New Roman"/>
          <w:color w:val="auto"/>
          <w:sz w:val="32"/>
          <w:szCs w:val="28"/>
          <w:highlight w:val="none"/>
        </w:rPr>
        <w:t>《江西省关于探索利用市场化方式推进矿山生态修复的实施办法》</w:t>
      </w:r>
      <w:r>
        <w:rPr>
          <w:rFonts w:hint="eastAsia" w:ascii="Times New Roman" w:hAnsi="Times New Roman" w:eastAsia="仿宋_GB2312" w:cs="Times New Roman"/>
          <w:color w:val="auto"/>
          <w:sz w:val="32"/>
          <w:szCs w:val="28"/>
          <w:highlight w:val="none"/>
          <w:lang w:eastAsia="zh-CN"/>
        </w:rPr>
        <w:t>（</w:t>
      </w:r>
      <w:r>
        <w:rPr>
          <w:rFonts w:hint="eastAsia" w:ascii="Times New Roman" w:hAnsi="Times New Roman" w:eastAsia="仿宋_GB2312" w:cs="Times New Roman"/>
          <w:color w:val="auto"/>
          <w:sz w:val="32"/>
          <w:szCs w:val="28"/>
          <w:highlight w:val="none"/>
          <w:lang w:val="en-US" w:eastAsia="zh-CN"/>
        </w:rPr>
        <w:t>赣</w:t>
      </w:r>
      <w:r>
        <w:rPr>
          <w:rFonts w:hint="eastAsia" w:ascii="Times New Roman" w:hAnsi="Times New Roman" w:eastAsia="仿宋_GB2312" w:cs="Times New Roman"/>
          <w:color w:val="auto"/>
          <w:sz w:val="32"/>
          <w:szCs w:val="28"/>
          <w:highlight w:val="none"/>
          <w:lang w:eastAsia="zh-CN"/>
        </w:rPr>
        <w:t>自然资规</w:t>
      </w:r>
      <w:r>
        <w:rPr>
          <w:rFonts w:hint="eastAsia" w:ascii="Times New Roman" w:hAnsi="Times New Roman" w:eastAsia="仿宋_GB2312" w:cs="Times New Roman"/>
          <w:color w:val="auto"/>
          <w:sz w:val="32"/>
          <w:szCs w:val="28"/>
          <w:highlight w:val="none"/>
        </w:rPr>
        <w:t>〔20</w:t>
      </w:r>
      <w:r>
        <w:rPr>
          <w:rFonts w:hint="eastAsia" w:ascii="Times New Roman" w:hAnsi="Times New Roman" w:eastAsia="仿宋_GB2312" w:cs="Times New Roman"/>
          <w:color w:val="auto"/>
          <w:sz w:val="32"/>
          <w:szCs w:val="28"/>
          <w:highlight w:val="none"/>
          <w:lang w:val="en-US" w:eastAsia="zh-CN"/>
        </w:rPr>
        <w:t>20</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_GB2312" w:cs="Times New Roman"/>
          <w:color w:val="auto"/>
          <w:sz w:val="32"/>
          <w:szCs w:val="28"/>
          <w:highlight w:val="none"/>
          <w:lang w:val="en-US" w:eastAsia="zh-CN"/>
        </w:rPr>
        <w:t>1</w:t>
      </w:r>
      <w:r>
        <w:rPr>
          <w:rFonts w:hint="eastAsia" w:ascii="Times New Roman" w:hAnsi="Times New Roman" w:eastAsia="仿宋_GB2312" w:cs="Times New Roman"/>
          <w:color w:val="auto"/>
          <w:sz w:val="32"/>
          <w:szCs w:val="28"/>
          <w:highlight w:val="none"/>
          <w:lang w:eastAsia="zh-CN"/>
        </w:rPr>
        <w:t>号）</w:t>
      </w:r>
      <w:r>
        <w:rPr>
          <w:rFonts w:hint="eastAsia" w:ascii="Times New Roman" w:hAnsi="Times New Roman" w:eastAsia="仿宋" w:cs="Times New Roman"/>
          <w:color w:val="auto"/>
          <w:sz w:val="32"/>
          <w:szCs w:val="28"/>
          <w:highlight w:val="none"/>
          <w:lang w:eastAsia="zh-CN"/>
        </w:rPr>
        <w:t>；</w:t>
      </w:r>
    </w:p>
    <w:p w14:paraId="5776106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8）《市县国土空间生态修复规划编制指南（试行）》（江西省自然资源厅，2021年7月）；</w:t>
      </w:r>
    </w:p>
    <w:p w14:paraId="6F16A47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江西省生态环境厅关于印发《江西省森林经营碳汇项目方法学（试行）》的通知（赣环气候〔</w:t>
      </w:r>
      <w:r>
        <w:rPr>
          <w:rFonts w:hint="default" w:ascii="Times New Roman" w:hAnsi="Times New Roman" w:eastAsia="仿宋" w:cs="Times New Roman"/>
          <w:color w:val="auto"/>
          <w:sz w:val="32"/>
          <w:szCs w:val="28"/>
          <w:highlight w:val="none"/>
          <w:lang w:eastAsia="zh-CN"/>
        </w:rPr>
        <w:t>2021</w:t>
      </w:r>
      <w:r>
        <w:rPr>
          <w:rFonts w:hint="eastAsia" w:ascii="Times New Roman" w:hAnsi="Times New Roman" w:eastAsia="仿宋" w:cs="Times New Roman"/>
          <w:color w:val="auto"/>
          <w:sz w:val="32"/>
          <w:szCs w:val="28"/>
          <w:highlight w:val="none"/>
          <w:lang w:eastAsia="zh-CN"/>
        </w:rPr>
        <w:t>〕</w:t>
      </w:r>
      <w:r>
        <w:rPr>
          <w:rFonts w:hint="default" w:ascii="Times New Roman" w:hAnsi="Times New Roman" w:eastAsia="仿宋" w:cs="Times New Roman"/>
          <w:color w:val="auto"/>
          <w:sz w:val="32"/>
          <w:szCs w:val="28"/>
          <w:highlight w:val="none"/>
          <w:lang w:eastAsia="zh-CN"/>
        </w:rPr>
        <w:t>17</w:t>
      </w:r>
      <w:r>
        <w:rPr>
          <w:rFonts w:hint="eastAsia" w:ascii="Times New Roman" w:hAnsi="Times New Roman" w:eastAsia="仿宋" w:cs="Times New Roman"/>
          <w:color w:val="auto"/>
          <w:sz w:val="32"/>
          <w:szCs w:val="28"/>
          <w:highlight w:val="none"/>
          <w:lang w:eastAsia="zh-CN"/>
        </w:rPr>
        <w:t>号）；</w:t>
      </w:r>
    </w:p>
    <w:p w14:paraId="21AFF7E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（10）《江西省湿地保护率统计办法（试行）》（江西省林业厅，2019年1月）</w:t>
      </w:r>
    </w:p>
    <w:p w14:paraId="6AC4F86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11）</w:t>
      </w:r>
      <w:r>
        <w:rPr>
          <w:rFonts w:hint="eastAsia" w:ascii="Times New Roman" w:hAnsi="Times New Roman" w:eastAsia="仿宋" w:cs="Times New Roman"/>
          <w:color w:val="auto"/>
          <w:sz w:val="32"/>
          <w:szCs w:val="28"/>
          <w:highlight w:val="none"/>
        </w:rPr>
        <w:t>《退化森林生态系统恢复与重建技术规程》（LY/T 2651-2016）；</w:t>
      </w:r>
    </w:p>
    <w:p w14:paraId="47F365C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12）《造林项目碳汇计量监测指南》（LY/T2253-2014）；</w:t>
      </w:r>
    </w:p>
    <w:p w14:paraId="4A6DEDD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13）</w:t>
      </w:r>
      <w:r>
        <w:rPr>
          <w:rFonts w:hint="eastAsia" w:ascii="Times New Roman" w:hAnsi="Times New Roman" w:eastAsia="仿宋" w:cs="Times New Roman"/>
          <w:color w:val="auto"/>
          <w:sz w:val="32"/>
          <w:szCs w:val="28"/>
          <w:highlight w:val="none"/>
        </w:rPr>
        <w:t>《退化草地修复技术规范》（20142232-T-326）；</w:t>
      </w:r>
    </w:p>
    <w:p w14:paraId="446EF39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14）</w:t>
      </w:r>
      <w:r>
        <w:rPr>
          <w:rFonts w:hint="eastAsia" w:ascii="Times New Roman" w:hAnsi="Times New Roman" w:eastAsia="仿宋" w:cs="Times New Roman"/>
          <w:color w:val="auto"/>
          <w:sz w:val="32"/>
          <w:szCs w:val="28"/>
          <w:highlight w:val="none"/>
        </w:rPr>
        <w:t>《湿地植被修复技术规程》（DB34/T2831-2017）；</w:t>
      </w:r>
    </w:p>
    <w:p w14:paraId="227EB68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15）</w:t>
      </w:r>
      <w:r>
        <w:rPr>
          <w:rFonts w:hint="eastAsia" w:ascii="Times New Roman" w:hAnsi="Times New Roman" w:eastAsia="仿宋" w:cs="Times New Roman"/>
          <w:color w:val="auto"/>
          <w:sz w:val="32"/>
          <w:szCs w:val="28"/>
          <w:highlight w:val="none"/>
        </w:rPr>
        <w:t>《城市水系生态环境修复技术指南》</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DB45/T1513- 2017</w:t>
      </w:r>
      <w:r>
        <w:rPr>
          <w:rFonts w:hint="eastAsia" w:ascii="Times New Roman" w:hAnsi="Times New Roman" w:eastAsia="仿宋" w:cs="Times New Roman"/>
          <w:color w:val="auto"/>
          <w:sz w:val="32"/>
          <w:szCs w:val="28"/>
          <w:highlight w:val="none"/>
          <w:lang w:eastAsia="zh-CN"/>
        </w:rPr>
        <w:t>）；</w:t>
      </w:r>
    </w:p>
    <w:p w14:paraId="233487F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16）</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矿山植被生态修复技术规范》（DB11/T 1690-2019）</w:t>
      </w:r>
      <w:r>
        <w:rPr>
          <w:rFonts w:hint="eastAsia" w:ascii="Times New Roman" w:hAnsi="Times New Roman" w:eastAsia="仿宋" w:cs="Times New Roman"/>
          <w:color w:val="auto"/>
          <w:sz w:val="32"/>
          <w:szCs w:val="28"/>
          <w:highlight w:val="none"/>
          <w:lang w:val="en-US" w:eastAsia="zh-CN"/>
        </w:rPr>
        <w:t>。</w:t>
      </w:r>
    </w:p>
    <w:p w14:paraId="2DDABDEB">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6. 相关规划及参考资料 </w:t>
      </w:r>
    </w:p>
    <w:p w14:paraId="0B82074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国务院关于印发全国主体功能区规划的通知</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国发〔</w:t>
      </w:r>
      <w:r>
        <w:rPr>
          <w:rFonts w:hint="default" w:ascii="Times New Roman" w:hAnsi="Times New Roman" w:eastAsia="仿宋" w:cs="Times New Roman"/>
          <w:color w:val="auto"/>
          <w:sz w:val="32"/>
          <w:szCs w:val="28"/>
          <w:highlight w:val="none"/>
        </w:rPr>
        <w:t>2010</w:t>
      </w:r>
      <w:r>
        <w:rPr>
          <w:rFonts w:hint="eastAsia" w:ascii="Times New Roman" w:hAnsi="Times New Roman" w:eastAsia="仿宋" w:cs="Times New Roman"/>
          <w:color w:val="auto"/>
          <w:sz w:val="32"/>
          <w:szCs w:val="28"/>
          <w:highlight w:val="none"/>
        </w:rPr>
        <w:t>〕</w:t>
      </w:r>
      <w:r>
        <w:rPr>
          <w:rFonts w:hint="default" w:ascii="Times New Roman" w:hAnsi="Times New Roman" w:eastAsia="仿宋" w:cs="Times New Roman"/>
          <w:color w:val="auto"/>
          <w:sz w:val="32"/>
          <w:szCs w:val="28"/>
          <w:highlight w:val="none"/>
        </w:rPr>
        <w:t>46</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p>
    <w:p w14:paraId="72CAF5F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（2）国家发展改革委、自然资源部关于印发</w:t>
      </w:r>
      <w:r>
        <w:rPr>
          <w:rFonts w:hint="eastAsia" w:ascii="Times New Roman" w:hAnsi="Times New Roman" w:eastAsia="仿宋" w:cs="Times New Roman"/>
          <w:color w:val="auto"/>
          <w:sz w:val="32"/>
          <w:szCs w:val="28"/>
          <w:highlight w:val="none"/>
        </w:rPr>
        <w:t>《全国重要生态系统保护和修复重大工程总体规划（2021</w:t>
      </w:r>
      <w:r>
        <w:rPr>
          <w:rFonts w:hint="eastAsia"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发改农经</w:t>
      </w:r>
      <w:r>
        <w:rPr>
          <w:rFonts w:hint="eastAsia" w:ascii="Times New Roman" w:hAnsi="Times New Roman" w:eastAsia="仿宋" w:cs="Times New Roman"/>
          <w:color w:val="auto"/>
          <w:sz w:val="32"/>
          <w:szCs w:val="28"/>
          <w:highlight w:val="none"/>
        </w:rPr>
        <w:t>〔</w:t>
      </w:r>
      <w:r>
        <w:rPr>
          <w:rFonts w:hint="default" w:ascii="Times New Roman" w:hAnsi="Times New Roman" w:eastAsia="仿宋" w:cs="Times New Roman"/>
          <w:color w:val="auto"/>
          <w:sz w:val="32"/>
          <w:szCs w:val="28"/>
          <w:highlight w:val="none"/>
        </w:rPr>
        <w:t>20</w:t>
      </w:r>
      <w:r>
        <w:rPr>
          <w:rFonts w:hint="eastAsia" w:ascii="Times New Roman" w:hAnsi="Times New Roman" w:eastAsia="仿宋" w:cs="Times New Roman"/>
          <w:color w:val="auto"/>
          <w:sz w:val="32"/>
          <w:szCs w:val="28"/>
          <w:highlight w:val="none"/>
          <w:lang w:val="en-US" w:eastAsia="zh-CN"/>
        </w:rPr>
        <w:t>2</w:t>
      </w:r>
      <w:r>
        <w:rPr>
          <w:rFonts w:hint="default" w:ascii="Times New Roman" w:hAnsi="Times New Roman" w:eastAsia="仿宋" w:cs="Times New Roman"/>
          <w:color w:val="auto"/>
          <w:sz w:val="32"/>
          <w:szCs w:val="28"/>
          <w:highlight w:val="none"/>
        </w:rPr>
        <w:t>0</w:t>
      </w:r>
      <w:r>
        <w:rPr>
          <w:rFonts w:hint="eastAsia" w:ascii="Times New Roman" w:hAnsi="Times New Roman" w:eastAsia="仿宋" w:cs="Times New Roman"/>
          <w:color w:val="auto"/>
          <w:sz w:val="32"/>
          <w:szCs w:val="28"/>
          <w:highlight w:val="none"/>
        </w:rPr>
        <w:t>〕</w:t>
      </w:r>
      <w:r>
        <w:rPr>
          <w:rFonts w:hint="eastAsia" w:ascii="Times New Roman" w:hAnsi="Times New Roman" w:eastAsia="仿宋" w:cs="Times New Roman"/>
          <w:color w:val="auto"/>
          <w:sz w:val="32"/>
          <w:szCs w:val="28"/>
          <w:highlight w:val="none"/>
          <w:lang w:val="en-US" w:eastAsia="zh-CN"/>
        </w:rPr>
        <w:t>837</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p>
    <w:p w14:paraId="6EE532A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（3）《“十四五”林业草原保护发展规划纲要》（国家发展改革委、国家林业和草原局，2021年7月）；</w:t>
      </w:r>
    </w:p>
    <w:p w14:paraId="6BE12DC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（4）生态环境部（原环境保护部）、中国科学院关于印发《全国生态功能区划（修编版）》的公告（生态环境部公告2015年第61号）；</w:t>
      </w:r>
    </w:p>
    <w:p w14:paraId="06EF1F7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（5）生态环境部（原环境保护部）关于印发《中国生物多样性保护战略与行动计划》（</w:t>
      </w:r>
      <w:r>
        <w:rPr>
          <w:rFonts w:hint="default" w:ascii="Times New Roman" w:hAnsi="Times New Roman" w:eastAsia="仿宋" w:cs="Times New Roman"/>
          <w:color w:val="auto"/>
          <w:sz w:val="32"/>
          <w:szCs w:val="28"/>
          <w:highlight w:val="none"/>
          <w:lang w:val="en-US" w:eastAsia="zh-CN"/>
        </w:rPr>
        <w:t>2011</w:t>
      </w:r>
      <w:r>
        <w:rPr>
          <w:rFonts w:hint="eastAsia" w:ascii="Times New Roman" w:hAnsi="Times New Roman" w:eastAsia="仿宋" w:cs="Times New Roman"/>
          <w:color w:val="auto"/>
          <w:sz w:val="32"/>
          <w:szCs w:val="28"/>
          <w:highlight w:val="none"/>
          <w:lang w:val="en-US" w:eastAsia="zh-CN"/>
        </w:rPr>
        <w:t>-</w:t>
      </w:r>
      <w:r>
        <w:rPr>
          <w:rFonts w:hint="default" w:ascii="Times New Roman" w:hAnsi="Times New Roman" w:eastAsia="仿宋" w:cs="Times New Roman"/>
          <w:color w:val="auto"/>
          <w:sz w:val="32"/>
          <w:szCs w:val="28"/>
          <w:highlight w:val="none"/>
          <w:lang w:val="en-US" w:eastAsia="zh-CN"/>
        </w:rPr>
        <w:t>2030</w:t>
      </w:r>
      <w:r>
        <w:rPr>
          <w:rFonts w:hint="eastAsia" w:ascii="Times New Roman" w:hAnsi="Times New Roman" w:eastAsia="仿宋" w:cs="Times New Roman"/>
          <w:color w:val="auto"/>
          <w:sz w:val="32"/>
          <w:szCs w:val="28"/>
          <w:highlight w:val="none"/>
          <w:lang w:val="en-US" w:eastAsia="zh-CN"/>
        </w:rPr>
        <w:t>）的通知（环发</w:t>
      </w:r>
      <w:r>
        <w:rPr>
          <w:rFonts w:hint="eastAsia" w:ascii="Times New Roman" w:hAnsi="Times New Roman" w:eastAsia="仿宋" w:cs="Times New Roman"/>
          <w:color w:val="auto"/>
          <w:sz w:val="32"/>
          <w:szCs w:val="28"/>
          <w:highlight w:val="none"/>
        </w:rPr>
        <w:t>〔</w:t>
      </w:r>
      <w:r>
        <w:rPr>
          <w:rFonts w:hint="default" w:ascii="Times New Roman" w:hAnsi="Times New Roman" w:eastAsia="仿宋" w:cs="Times New Roman"/>
          <w:color w:val="auto"/>
          <w:sz w:val="32"/>
          <w:szCs w:val="28"/>
          <w:highlight w:val="none"/>
        </w:rPr>
        <w:t>2010</w:t>
      </w:r>
      <w:r>
        <w:rPr>
          <w:rFonts w:hint="eastAsia" w:ascii="Times New Roman" w:hAnsi="Times New Roman" w:eastAsia="仿宋" w:cs="Times New Roman"/>
          <w:color w:val="auto"/>
          <w:sz w:val="32"/>
          <w:szCs w:val="28"/>
          <w:highlight w:val="none"/>
        </w:rPr>
        <w:t>〕</w:t>
      </w:r>
      <w:r>
        <w:rPr>
          <w:rFonts w:hint="eastAsia" w:ascii="Times New Roman" w:hAnsi="Times New Roman" w:eastAsia="仿宋" w:cs="Times New Roman"/>
          <w:color w:val="auto"/>
          <w:sz w:val="32"/>
          <w:szCs w:val="28"/>
          <w:highlight w:val="none"/>
          <w:lang w:val="en-US" w:eastAsia="zh-CN"/>
        </w:rPr>
        <w:t>10</w:t>
      </w:r>
      <w:r>
        <w:rPr>
          <w:rFonts w:hint="default" w:ascii="Times New Roman" w:hAnsi="Times New Roman" w:eastAsia="仿宋" w:cs="Times New Roman"/>
          <w:color w:val="auto"/>
          <w:sz w:val="32"/>
          <w:szCs w:val="28"/>
          <w:highlight w:val="none"/>
        </w:rPr>
        <w:t>6</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p>
    <w:p w14:paraId="661D60E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（6）《南方丘陵山地带生态保护和修复重大工程建设规划（2021-2035）》（国家林业和草原局，2021年4月）；</w:t>
      </w:r>
    </w:p>
    <w:p w14:paraId="0E05234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（7）《江西省主体功能区规划》（江西省人民政府，2013年2月6日）；</w:t>
      </w:r>
    </w:p>
    <w:p w14:paraId="13AFE45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8</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《江西省“十四五”国土空间生态修复规划》；</w:t>
      </w:r>
    </w:p>
    <w:p w14:paraId="40C8D8C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《赣州市国土空间总体规划（202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p>
    <w:p w14:paraId="1B453FF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（10）《赣州市“十四五”国土空间生态修复规划》（赣市自然资字</w:t>
      </w:r>
      <w:r>
        <w:rPr>
          <w:rFonts w:hint="eastAsia" w:ascii="Times New Roman" w:hAnsi="Times New Roman" w:eastAsia="仿宋" w:cs="Times New Roman"/>
          <w:color w:val="auto"/>
          <w:sz w:val="32"/>
          <w:szCs w:val="28"/>
          <w:highlight w:val="none"/>
        </w:rPr>
        <w:t>〔2021〕</w:t>
      </w:r>
      <w:r>
        <w:rPr>
          <w:rFonts w:hint="eastAsia" w:ascii="Times New Roman" w:hAnsi="Times New Roman" w:eastAsia="仿宋" w:cs="Times New Roman"/>
          <w:color w:val="auto"/>
          <w:sz w:val="32"/>
          <w:szCs w:val="28"/>
          <w:highlight w:val="none"/>
          <w:lang w:val="en-US" w:eastAsia="zh-CN"/>
        </w:rPr>
        <w:t>127</w:t>
      </w:r>
      <w:r>
        <w:rPr>
          <w:rFonts w:hint="eastAsia" w:ascii="Times New Roman" w:hAnsi="Times New Roman" w:eastAsia="仿宋" w:cs="Times New Roman"/>
          <w:color w:val="auto"/>
          <w:sz w:val="32"/>
          <w:szCs w:val="28"/>
          <w:highlight w:val="none"/>
        </w:rPr>
        <w:t>号</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w:t>
      </w:r>
    </w:p>
    <w:p w14:paraId="3118EDB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11）</w:t>
      </w:r>
      <w:r>
        <w:rPr>
          <w:rFonts w:hint="eastAsia" w:ascii="Times New Roman" w:hAnsi="Times New Roman" w:eastAsia="仿宋" w:cs="Times New Roman"/>
          <w:color w:val="auto"/>
          <w:sz w:val="32"/>
          <w:szCs w:val="28"/>
          <w:highlight w:val="none"/>
        </w:rPr>
        <w:t>《江西省2020年国民经济和社会发展统计公报》；</w:t>
      </w:r>
    </w:p>
    <w:p w14:paraId="6C4850F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12）《江西省水土保持公报》（2010-2020）；</w:t>
      </w:r>
    </w:p>
    <w:p w14:paraId="0E794CC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13）《江西省水资源公报》（2010-2020）；</w:t>
      </w:r>
    </w:p>
    <w:p w14:paraId="5A901E5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14）《江西省生态环境状况公报》（2020）；</w:t>
      </w:r>
    </w:p>
    <w:p w14:paraId="75C85EA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15）《江西省赣州市山水林田湖生态保护与修复工程试点实施方案（2016-2019）》（赣州市人民政府，2016.12）；</w:t>
      </w:r>
    </w:p>
    <w:p w14:paraId="136E4C7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16）《赣州市城市总体规划（2017-2035）》；</w:t>
      </w:r>
    </w:p>
    <w:p w14:paraId="6D51921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17）</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赣州市第七次森林资源二类调查成果汇编</w:t>
      </w:r>
      <w:r>
        <w:rPr>
          <w:rFonts w:hint="eastAsia" w:ascii="Times New Roman" w:hAnsi="Times New Roman" w:eastAsia="仿宋" w:cs="Times New Roman"/>
          <w:color w:val="auto"/>
          <w:sz w:val="32"/>
          <w:szCs w:val="28"/>
          <w:highlight w:val="none"/>
          <w:lang w:eastAsia="zh-CN"/>
        </w:rPr>
        <w:t>》；</w:t>
      </w:r>
    </w:p>
    <w:p w14:paraId="5ADBA52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18）《</w:t>
      </w:r>
      <w:r>
        <w:rPr>
          <w:rFonts w:hint="eastAsia" w:ascii="Times New Roman" w:hAnsi="Times New Roman" w:eastAsia="仿宋" w:cs="Times New Roman"/>
          <w:color w:val="auto"/>
          <w:sz w:val="32"/>
          <w:szCs w:val="28"/>
          <w:highlight w:val="none"/>
          <w:lang w:eastAsia="zh-CN"/>
        </w:rPr>
        <w:t>赣州市资源环境承载能力和国土空间开发适宜性评价报告》（</w:t>
      </w:r>
      <w:r>
        <w:rPr>
          <w:rFonts w:hint="eastAsia" w:ascii="Times New Roman" w:hAnsi="Times New Roman" w:eastAsia="仿宋" w:cs="Times New Roman"/>
          <w:color w:val="auto"/>
          <w:sz w:val="32"/>
          <w:szCs w:val="28"/>
          <w:highlight w:val="none"/>
          <w:lang w:val="en-US" w:eastAsia="zh-CN"/>
        </w:rPr>
        <w:t>2020）；</w:t>
      </w:r>
    </w:p>
    <w:p w14:paraId="474A7C1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19）《赣州市国土空间生态保护修复专题研究报告》（2020）；</w:t>
      </w:r>
    </w:p>
    <w:p w14:paraId="310EE2A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20）《赣州市水土保持“十四五”规划》（报批稿）；</w:t>
      </w:r>
    </w:p>
    <w:p w14:paraId="2FC246E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21）</w:t>
      </w:r>
      <w:r>
        <w:rPr>
          <w:rFonts w:hint="eastAsia" w:ascii="Times New Roman" w:hAnsi="Times New Roman" w:eastAsia="仿宋" w:cs="Times New Roman"/>
          <w:color w:val="auto"/>
          <w:sz w:val="32"/>
          <w:szCs w:val="28"/>
          <w:highlight w:val="none"/>
          <w:lang w:eastAsia="zh-CN"/>
        </w:rPr>
        <w:t>《赣州市水资源公报》（赣州市水利局，2020）；</w:t>
      </w:r>
    </w:p>
    <w:p w14:paraId="2EC2ADB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22）</w:t>
      </w:r>
      <w:r>
        <w:rPr>
          <w:rFonts w:hint="eastAsia" w:ascii="Times New Roman" w:hAnsi="Times New Roman" w:eastAsia="仿宋" w:cs="Times New Roman"/>
          <w:color w:val="auto"/>
          <w:sz w:val="32"/>
          <w:szCs w:val="28"/>
          <w:highlight w:val="none"/>
        </w:rPr>
        <w:t>《赣州市“十四五”水安全保障规划报告》（赣州市水利局，2020）；</w:t>
      </w:r>
    </w:p>
    <w:p w14:paraId="5450D95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（23）《赣州市矿产资源总体规划（2021-2025）》；</w:t>
      </w:r>
    </w:p>
    <w:p w14:paraId="56FB263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24）《赣州市矿山生态修复三年行动方案》；</w:t>
      </w:r>
    </w:p>
    <w:p w14:paraId="5FC74A0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25）</w:t>
      </w:r>
      <w:r>
        <w:rPr>
          <w:rFonts w:hint="eastAsia" w:ascii="Times New Roman" w:hAnsi="Times New Roman" w:eastAsia="仿宋" w:cs="Times New Roman"/>
          <w:color w:val="auto"/>
          <w:sz w:val="32"/>
          <w:szCs w:val="28"/>
          <w:highlight w:val="none"/>
        </w:rPr>
        <w:t>《赣州市2020年国民经济和社会发展统计公报》</w:t>
      </w:r>
      <w:r>
        <w:rPr>
          <w:rFonts w:hint="eastAsia" w:ascii="Times New Roman" w:hAnsi="Times New Roman" w:eastAsia="仿宋" w:cs="Times New Roman"/>
          <w:color w:val="auto"/>
          <w:sz w:val="32"/>
          <w:szCs w:val="28"/>
          <w:highlight w:val="none"/>
          <w:lang w:eastAsia="zh-CN"/>
        </w:rPr>
        <w:t>；</w:t>
      </w:r>
    </w:p>
    <w:p w14:paraId="5DF0F5D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（26）《龙南县“十三五”总体规划》；</w:t>
      </w:r>
    </w:p>
    <w:p w14:paraId="0CC7A1A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（27）《江西省龙南县城市总体规划（2011-2030）》；</w:t>
      </w:r>
    </w:p>
    <w:p w14:paraId="45A353A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（28）《龙南县城市生物多样性保护规划（2013-2030年）》；</w:t>
      </w:r>
    </w:p>
    <w:p w14:paraId="673C580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（29）</w:t>
      </w:r>
      <w:r>
        <w:rPr>
          <w:rFonts w:hint="eastAsia" w:ascii="Times New Roman" w:hAnsi="Times New Roman" w:eastAsia="仿宋" w:cs="Times New Roman"/>
          <w:color w:val="auto"/>
          <w:sz w:val="32"/>
          <w:szCs w:val="28"/>
          <w:highlight w:val="none"/>
          <w:lang w:eastAsia="zh-CN"/>
        </w:rPr>
        <w:t>《龙南市</w:t>
      </w:r>
      <w:r>
        <w:rPr>
          <w:rFonts w:hint="eastAsia" w:ascii="Times New Roman" w:hAnsi="Times New Roman" w:eastAsia="仿宋" w:cs="Times New Roman"/>
          <w:color w:val="auto"/>
          <w:sz w:val="32"/>
          <w:szCs w:val="28"/>
          <w:highlight w:val="none"/>
        </w:rPr>
        <w:t>2020年国民经济和社会发展统计公报</w:t>
      </w:r>
      <w:r>
        <w:rPr>
          <w:rFonts w:hint="eastAsia" w:ascii="Times New Roman" w:hAnsi="Times New Roman" w:eastAsia="仿宋" w:cs="Times New Roman"/>
          <w:color w:val="auto"/>
          <w:sz w:val="32"/>
          <w:szCs w:val="28"/>
          <w:highlight w:val="none"/>
          <w:lang w:eastAsia="zh-CN"/>
        </w:rPr>
        <w:t>》；</w:t>
      </w:r>
    </w:p>
    <w:p w14:paraId="100C876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30）《龙南县第七次森林资源二类调查成果报告》；</w:t>
      </w:r>
    </w:p>
    <w:p w14:paraId="6BF77F8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31）</w:t>
      </w:r>
      <w:r>
        <w:rPr>
          <w:rFonts w:hint="eastAsia" w:ascii="Times New Roman" w:hAnsi="Times New Roman" w:eastAsia="仿宋" w:cs="Times New Roman"/>
          <w:color w:val="auto"/>
          <w:kern w:val="2"/>
          <w:sz w:val="32"/>
          <w:szCs w:val="28"/>
          <w:highlight w:val="none"/>
          <w:lang w:val="en-US" w:eastAsia="zh-CN"/>
        </w:rPr>
        <w:t>《龙南市矿山生态修复三年行动方案》；</w:t>
      </w:r>
    </w:p>
    <w:p w14:paraId="4D5BF21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（32）《龙南市“十四五”水利发展规划报告》；</w:t>
      </w:r>
    </w:p>
    <w:p w14:paraId="612D645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（33）《龙南市“十四五”林业发展规划》；</w:t>
      </w:r>
    </w:p>
    <w:p w14:paraId="00AB147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（34）《龙南市“十四五”时期现代农业发展规划》；</w:t>
      </w:r>
    </w:p>
    <w:p w14:paraId="72E6B04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（35）《龙南“十四五”时期统筹城乡发展规划》；</w:t>
      </w:r>
    </w:p>
    <w:p w14:paraId="0883AC5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36）</w:t>
      </w:r>
      <w:r>
        <w:rPr>
          <w:rFonts w:hint="eastAsia" w:ascii="Times New Roman" w:hAnsi="Times New Roman" w:eastAsia="仿宋" w:cs="Times New Roman"/>
          <w:color w:val="auto"/>
          <w:kern w:val="2"/>
          <w:sz w:val="32"/>
          <w:szCs w:val="28"/>
          <w:highlight w:val="none"/>
          <w:lang w:val="en-US" w:eastAsia="zh-CN"/>
        </w:rPr>
        <w:t>《龙南市矿产资源总体规划（2021-2025年）》；</w:t>
      </w:r>
    </w:p>
    <w:p w14:paraId="439EACC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37）《龙南市“十四五”</w:t>
      </w:r>
      <w:bookmarkStart w:id="13" w:name="_Hlk33621428"/>
      <w:r>
        <w:rPr>
          <w:rFonts w:hint="eastAsia" w:ascii="Times New Roman" w:hAnsi="Times New Roman" w:eastAsia="仿宋" w:cs="Times New Roman"/>
          <w:color w:val="auto"/>
          <w:sz w:val="32"/>
          <w:szCs w:val="28"/>
          <w:highlight w:val="none"/>
          <w:lang w:val="en-US" w:eastAsia="zh-CN"/>
        </w:rPr>
        <w:t>生态环境保护</w:t>
      </w:r>
      <w:bookmarkEnd w:id="13"/>
      <w:r>
        <w:rPr>
          <w:rFonts w:hint="eastAsia" w:ascii="Times New Roman" w:hAnsi="Times New Roman" w:eastAsia="仿宋" w:cs="Times New Roman"/>
          <w:color w:val="auto"/>
          <w:sz w:val="32"/>
          <w:szCs w:val="28"/>
          <w:highlight w:val="none"/>
          <w:lang w:val="en-US" w:eastAsia="zh-CN"/>
        </w:rPr>
        <w:t>规划》；</w:t>
      </w:r>
    </w:p>
    <w:p w14:paraId="49A0847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（38）《龙南市城市生态评估与修复规划》；</w:t>
      </w:r>
    </w:p>
    <w:p w14:paraId="0C195CE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39）</w:t>
      </w:r>
      <w:r>
        <w:rPr>
          <w:rFonts w:hint="eastAsia" w:ascii="Times New Roman" w:hAnsi="Times New Roman" w:eastAsia="仿宋" w:cs="Times New Roman"/>
          <w:color w:val="auto"/>
          <w:sz w:val="32"/>
          <w:szCs w:val="28"/>
          <w:highlight w:val="none"/>
          <w:lang w:eastAsia="zh-CN"/>
        </w:rPr>
        <w:t>《龙南市“十四五” 时期交通运输发展规划》；</w:t>
      </w:r>
    </w:p>
    <w:p w14:paraId="009D2F5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40</w:t>
      </w:r>
      <w:r>
        <w:rPr>
          <w:rFonts w:hint="eastAsia" w:ascii="Times New Roman" w:hAnsi="Times New Roman" w:eastAsia="仿宋" w:cs="Times New Roman"/>
          <w:color w:val="auto"/>
          <w:sz w:val="32"/>
          <w:szCs w:val="28"/>
          <w:highlight w:val="none"/>
          <w:lang w:eastAsia="zh-CN"/>
        </w:rPr>
        <w:t>）《龙南市2021年政府工作报告》；</w:t>
      </w:r>
    </w:p>
    <w:p w14:paraId="0A4BC5D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41</w:t>
      </w:r>
      <w:r>
        <w:rPr>
          <w:rFonts w:hint="eastAsia" w:ascii="Times New Roman" w:hAnsi="Times New Roman" w:eastAsia="仿宋" w:cs="Times New Roman"/>
          <w:color w:val="auto"/>
          <w:sz w:val="32"/>
          <w:szCs w:val="28"/>
          <w:highlight w:val="none"/>
          <w:lang w:eastAsia="zh-CN"/>
        </w:rPr>
        <w:t>）《龙南市2021年</w:t>
      </w:r>
      <w:r>
        <w:rPr>
          <w:rFonts w:hint="eastAsia" w:ascii="Times New Roman" w:hAnsi="Times New Roman" w:eastAsia="仿宋" w:cs="Times New Roman"/>
          <w:color w:val="auto"/>
          <w:sz w:val="32"/>
          <w:szCs w:val="28"/>
          <w:highlight w:val="none"/>
          <w:lang w:val="en-US" w:eastAsia="zh-CN"/>
        </w:rPr>
        <w:t>换届</w:t>
      </w:r>
      <w:r>
        <w:rPr>
          <w:rFonts w:hint="eastAsia" w:ascii="Times New Roman" w:hAnsi="Times New Roman" w:eastAsia="仿宋" w:cs="Times New Roman"/>
          <w:color w:val="auto"/>
          <w:sz w:val="32"/>
          <w:szCs w:val="28"/>
          <w:highlight w:val="none"/>
          <w:lang w:eastAsia="zh-CN"/>
        </w:rPr>
        <w:t>政府工作报告》；</w:t>
      </w:r>
    </w:p>
    <w:p w14:paraId="22C6A4E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42</w:t>
      </w:r>
      <w:r>
        <w:rPr>
          <w:rFonts w:hint="eastAsia" w:ascii="Times New Roman" w:hAnsi="Times New Roman" w:eastAsia="仿宋" w:cs="Times New Roman"/>
          <w:color w:val="auto"/>
          <w:sz w:val="32"/>
          <w:szCs w:val="28"/>
          <w:highlight w:val="none"/>
          <w:lang w:eastAsia="zh-CN"/>
        </w:rPr>
        <w:t>）《龙南市第七次全国人口普查主要数据公报》；</w:t>
      </w:r>
    </w:p>
    <w:p w14:paraId="6E936E0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43</w:t>
      </w:r>
      <w:r>
        <w:rPr>
          <w:rFonts w:hint="eastAsia" w:ascii="Times New Roman" w:hAnsi="Times New Roman" w:eastAsia="仿宋" w:cs="Times New Roman"/>
          <w:color w:val="auto"/>
          <w:sz w:val="32"/>
          <w:szCs w:val="28"/>
          <w:highlight w:val="none"/>
          <w:lang w:eastAsia="zh-CN"/>
        </w:rPr>
        <w:t>）《龙南市“十四五”文化和旅游发展规划》；</w:t>
      </w:r>
    </w:p>
    <w:p w14:paraId="61C0AF0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44）</w:t>
      </w:r>
      <w:r>
        <w:rPr>
          <w:rFonts w:hint="eastAsia" w:ascii="Times New Roman" w:hAnsi="Times New Roman" w:eastAsia="仿宋" w:cs="Times New Roman"/>
          <w:color w:val="auto"/>
          <w:sz w:val="32"/>
          <w:szCs w:val="28"/>
          <w:highlight w:val="none"/>
        </w:rPr>
        <w:t>赣州市</w:t>
      </w:r>
      <w:r>
        <w:rPr>
          <w:rFonts w:hint="eastAsia" w:ascii="Times New Roman" w:hAnsi="Times New Roman" w:eastAsia="仿宋" w:cs="Times New Roman"/>
          <w:color w:val="auto"/>
          <w:sz w:val="32"/>
          <w:szCs w:val="28"/>
          <w:highlight w:val="none"/>
          <w:lang w:val="en-US" w:eastAsia="zh-CN"/>
        </w:rPr>
        <w:t>发改委、市</w:t>
      </w:r>
      <w:r>
        <w:rPr>
          <w:rFonts w:hint="eastAsia" w:ascii="Times New Roman" w:hAnsi="Times New Roman" w:eastAsia="仿宋" w:cs="Times New Roman"/>
          <w:color w:val="auto"/>
          <w:sz w:val="32"/>
          <w:szCs w:val="28"/>
          <w:highlight w:val="none"/>
        </w:rPr>
        <w:t>自然资源局</w:t>
      </w:r>
      <w:r>
        <w:rPr>
          <w:rFonts w:hint="eastAsia" w:ascii="Times New Roman" w:hAnsi="Times New Roman" w:eastAsia="仿宋" w:cs="Times New Roman"/>
          <w:color w:val="auto"/>
          <w:sz w:val="32"/>
          <w:szCs w:val="28"/>
          <w:highlight w:val="none"/>
          <w:lang w:val="en-US" w:eastAsia="zh-CN"/>
        </w:rPr>
        <w:t>及龙南市</w:t>
      </w:r>
      <w:r>
        <w:rPr>
          <w:rFonts w:hint="eastAsia" w:ascii="Times New Roman" w:hAnsi="Times New Roman" w:eastAsia="仿宋" w:cs="Times New Roman"/>
          <w:color w:val="auto"/>
          <w:sz w:val="32"/>
          <w:szCs w:val="28"/>
          <w:highlight w:val="none"/>
        </w:rPr>
        <w:t>发改委、</w:t>
      </w:r>
      <w:r>
        <w:rPr>
          <w:rFonts w:hint="eastAsia" w:ascii="Times New Roman" w:hAnsi="Times New Roman" w:eastAsia="仿宋" w:cs="Times New Roman"/>
          <w:color w:val="auto"/>
          <w:sz w:val="32"/>
          <w:szCs w:val="28"/>
          <w:highlight w:val="none"/>
          <w:lang w:val="en-US" w:eastAsia="zh-CN"/>
        </w:rPr>
        <w:t>自然资源局、</w:t>
      </w:r>
      <w:r>
        <w:rPr>
          <w:rFonts w:hint="eastAsia" w:ascii="Times New Roman" w:hAnsi="Times New Roman" w:eastAsia="仿宋" w:cs="Times New Roman"/>
          <w:color w:val="auto"/>
          <w:sz w:val="32"/>
          <w:szCs w:val="28"/>
          <w:highlight w:val="none"/>
        </w:rPr>
        <w:t>财政局、农业农村局、水利局、生态环境局、</w:t>
      </w:r>
      <w:r>
        <w:rPr>
          <w:rFonts w:hint="eastAsia" w:ascii="Times New Roman" w:hAnsi="Times New Roman" w:eastAsia="仿宋" w:cs="Times New Roman"/>
          <w:color w:val="auto"/>
          <w:sz w:val="32"/>
          <w:szCs w:val="28"/>
          <w:highlight w:val="none"/>
          <w:lang w:eastAsia="zh-CN"/>
        </w:rPr>
        <w:t>林业局</w:t>
      </w:r>
      <w:r>
        <w:rPr>
          <w:rFonts w:hint="eastAsia" w:ascii="Times New Roman" w:hAnsi="Times New Roman" w:eastAsia="仿宋" w:cs="Times New Roman"/>
          <w:color w:val="auto"/>
          <w:sz w:val="32"/>
          <w:szCs w:val="28"/>
          <w:highlight w:val="none"/>
        </w:rPr>
        <w:t>、住建局、</w:t>
      </w:r>
      <w:r>
        <w:rPr>
          <w:rFonts w:hint="eastAsia" w:ascii="Times New Roman" w:hAnsi="Times New Roman" w:eastAsia="仿宋" w:cs="Times New Roman"/>
          <w:color w:val="auto"/>
          <w:sz w:val="32"/>
          <w:szCs w:val="28"/>
          <w:highlight w:val="none"/>
          <w:lang w:val="en-US" w:eastAsia="zh-CN"/>
        </w:rPr>
        <w:t>城管局、</w:t>
      </w:r>
      <w:r>
        <w:rPr>
          <w:rFonts w:hint="eastAsia" w:ascii="Times New Roman" w:hAnsi="Times New Roman" w:eastAsia="仿宋" w:cs="Times New Roman"/>
          <w:color w:val="auto"/>
          <w:sz w:val="32"/>
          <w:szCs w:val="28"/>
          <w:highlight w:val="none"/>
        </w:rPr>
        <w:t>交通局、</w:t>
      </w:r>
      <w:r>
        <w:rPr>
          <w:rFonts w:hint="eastAsia" w:ascii="Times New Roman" w:hAnsi="Times New Roman" w:eastAsia="仿宋" w:cs="Times New Roman"/>
          <w:color w:val="auto"/>
          <w:sz w:val="32"/>
          <w:szCs w:val="28"/>
          <w:highlight w:val="none"/>
          <w:lang w:val="en-US" w:eastAsia="zh-CN"/>
        </w:rPr>
        <w:t>气象局、应急局</w:t>
      </w:r>
      <w:r>
        <w:rPr>
          <w:rFonts w:hint="eastAsia" w:ascii="Times New Roman" w:hAnsi="Times New Roman" w:eastAsia="仿宋" w:cs="Times New Roman"/>
          <w:color w:val="auto"/>
          <w:sz w:val="32"/>
          <w:szCs w:val="28"/>
          <w:highlight w:val="none"/>
        </w:rPr>
        <w:t>等提供的</w:t>
      </w:r>
      <w:r>
        <w:rPr>
          <w:rFonts w:hint="eastAsia" w:ascii="Times New Roman" w:hAnsi="Times New Roman" w:eastAsia="仿宋" w:cs="Times New Roman"/>
          <w:color w:val="auto"/>
          <w:sz w:val="32"/>
          <w:szCs w:val="28"/>
          <w:highlight w:val="none"/>
          <w:lang w:val="en-US" w:eastAsia="zh-CN"/>
        </w:rPr>
        <w:t>有关“</w:t>
      </w:r>
      <w:r>
        <w:rPr>
          <w:rFonts w:hint="eastAsia" w:ascii="Times New Roman" w:hAnsi="Times New Roman" w:eastAsia="仿宋" w:cs="Times New Roman"/>
          <w:color w:val="auto"/>
          <w:sz w:val="32"/>
          <w:szCs w:val="28"/>
          <w:highlight w:val="none"/>
        </w:rPr>
        <w:t>十四五</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生态修复规划编制的</w:t>
      </w:r>
      <w:r>
        <w:rPr>
          <w:rFonts w:hint="eastAsia" w:ascii="Times New Roman" w:hAnsi="Times New Roman" w:eastAsia="仿宋" w:cs="Times New Roman"/>
          <w:color w:val="auto"/>
          <w:sz w:val="32"/>
          <w:szCs w:val="28"/>
          <w:highlight w:val="none"/>
        </w:rPr>
        <w:t>其他资料。</w:t>
      </w:r>
    </w:p>
    <w:p w14:paraId="398518AF">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4" w:name="_Toc6493"/>
      <w:r>
        <w:rPr>
          <w:rFonts w:hint="eastAsia" w:ascii="Times New Roman" w:hAnsi="Times New Roman" w:eastAsia="仿宋" w:cs="Times New Roman"/>
          <w:b/>
          <w:bCs/>
          <w:color w:val="auto"/>
          <w:sz w:val="32"/>
          <w:szCs w:val="32"/>
          <w:highlight w:val="none"/>
          <w:lang w:val="en-US" w:eastAsia="zh-CN"/>
        </w:rPr>
        <w:t>（二）编制原则</w:t>
      </w:r>
      <w:bookmarkEnd w:id="14"/>
    </w:p>
    <w:p w14:paraId="473D9536">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1、坚持保护优先，自然恢复为主</w:t>
      </w:r>
    </w:p>
    <w:p w14:paraId="50B2606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坚持人与自然和谐共生，尊重自然、顺应自然、保护自然，遵循自然生态演替规律，倡导自然恢复理念，充分发挥自然生态系统自我恢复能力，以自然修复为主、人工干预为辅，科学落实生态修复措施，实现绿色生态、可持续发展。</w:t>
      </w:r>
    </w:p>
    <w:p w14:paraId="4A76F1D6">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2、坚持问题导向，突出重点难点</w:t>
      </w:r>
    </w:p>
    <w:p w14:paraId="0BA18CE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聚焦重点生态功能区、生态保护红线、自然保护地、“三区两线”等重点区域，针对生态系统退化、生态功能发挥不足、生态问题突出、生态产品和服务供给能力不足等重点区域，合理布设生态修复工程和项目。</w:t>
      </w:r>
    </w:p>
    <w:p w14:paraId="5F16BAD7">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3、坚持因地制宜，注重分类施策</w:t>
      </w:r>
    </w:p>
    <w:p w14:paraId="478F276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坚持山水林田湖草生命共同体理念，考虑流域与自然地理条件、生态系统特征和格局演变规律，遵循生态系统内在机理，统筹流域上下游，科学识别生态、生产、生活空间，尊重自然、因地制宜、整体谋划，“宜耕则耕、宜林则林、宜水则水、宜建则建”，科学配置保护和修复、自然和人工、生物和工程等措施，推进一体化生态保护和修复，保障生态安全，提升生态功能，严控人造景观工程、形象工程和政绩工程。</w:t>
      </w:r>
    </w:p>
    <w:p w14:paraId="522167AC">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4、坚持多元化投入，强化项目落地</w:t>
      </w:r>
    </w:p>
    <w:p w14:paraId="17A70DB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践行“绿水青山就是金山银山”理念，深化生态修复领域制度创新，积极拓宽投融资筹措渠道，提升生态修复产品价值实现路径，推进形成政府主导、社会多元主体参与、市场化社会化运行的生态修复长效机制。合理安排生态修复项目和资金，整合与统筹相关工程项目协调配合，综合考虑项目的成熟度和可操作性，突出修复工程的针对性、时效性和可持续性，落实工程实施的资金投入保障，加强项目的实施能力建设，强化规划可操作性。</w:t>
      </w:r>
    </w:p>
    <w:p w14:paraId="6A313C03">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5、坚持充分论证，公众广泛参与</w:t>
      </w:r>
    </w:p>
    <w:p w14:paraId="37E56F9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坚持“开门编规划”，建立牵头组织、专家领衔、部门合作、公众参与、科学决策的跨部门多领域合作编制工作机制，组建由经验丰富技术人才参与的规划编制团队，加强部门间联系，建立衔接和协调机制，提高规划决策水平。注重专家咨询和公众参与，探索开展规划编制听证，广泛听取各方面意见，提高决策的科学性和透明度。</w:t>
      </w:r>
    </w:p>
    <w:p w14:paraId="28C7A208">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5" w:name="_Toc26656"/>
      <w:r>
        <w:rPr>
          <w:rFonts w:hint="eastAsia" w:ascii="Times New Roman" w:hAnsi="Times New Roman" w:eastAsia="仿宋" w:cs="Times New Roman"/>
          <w:b/>
          <w:bCs/>
          <w:color w:val="auto"/>
          <w:sz w:val="32"/>
          <w:szCs w:val="32"/>
          <w:highlight w:val="none"/>
          <w:lang w:val="en-US" w:eastAsia="zh-CN"/>
        </w:rPr>
        <w:t>（三）编制过程</w:t>
      </w:r>
      <w:bookmarkEnd w:id="15"/>
    </w:p>
    <w:p w14:paraId="7DA26AC2">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1. 组织准备阶段（2021年3月-9月） </w:t>
      </w:r>
    </w:p>
    <w:p w14:paraId="0F0552D2">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（1）组织准备阶段</w:t>
      </w:r>
    </w:p>
    <w:p w14:paraId="382B239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按照《江西省自然资源厅办公室关于开展市县级国土空间生态修复规划编制工作通知》（赣自然资办发〔2021〕67号）等文件的精神，及龙南市发改委、龙南市自然资源局有关工作部署，《龙南市“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国土空间生态修复规划》编制工作于 2021 年8月正式启动。《规划》</w:t>
      </w:r>
      <w:r>
        <w:rPr>
          <w:rFonts w:hint="eastAsia" w:ascii="Times New Roman" w:hAnsi="Times New Roman" w:eastAsia="仿宋" w:cs="Times New Roman"/>
          <w:color w:val="auto"/>
          <w:sz w:val="32"/>
          <w:szCs w:val="28"/>
          <w:highlight w:val="none"/>
          <w:lang w:val="en-US" w:eastAsia="zh-CN"/>
        </w:rPr>
        <w:t>名称合同</w:t>
      </w:r>
      <w:r>
        <w:rPr>
          <w:rFonts w:hint="eastAsia" w:ascii="Times New Roman" w:hAnsi="Times New Roman" w:eastAsia="仿宋" w:cs="Times New Roman"/>
          <w:color w:val="auto"/>
          <w:sz w:val="32"/>
          <w:szCs w:val="28"/>
          <w:highlight w:val="none"/>
          <w:lang w:eastAsia="zh-CN"/>
        </w:rPr>
        <w:t>命名为《龙南市国土空间生态修复规划（2021-2035）》，</w:t>
      </w:r>
      <w:r>
        <w:rPr>
          <w:rFonts w:hint="eastAsia" w:ascii="Times New Roman" w:hAnsi="Times New Roman" w:eastAsia="仿宋" w:cs="Times New Roman"/>
          <w:color w:val="auto"/>
          <w:sz w:val="32"/>
          <w:szCs w:val="28"/>
          <w:highlight w:val="none"/>
          <w:lang w:val="en-US" w:eastAsia="zh-CN"/>
        </w:rPr>
        <w:t>由于与省规、市规衔接后，重新命名为《</w:t>
      </w:r>
      <w:r>
        <w:rPr>
          <w:rFonts w:hint="eastAsia" w:ascii="Times New Roman" w:hAnsi="Times New Roman" w:eastAsia="仿宋" w:cs="Times New Roman"/>
          <w:color w:val="auto"/>
          <w:sz w:val="32"/>
          <w:szCs w:val="28"/>
          <w:highlight w:val="none"/>
          <w:lang w:eastAsia="zh-CN"/>
        </w:rPr>
        <w:t>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w:t>
      </w:r>
    </w:p>
    <w:p w14:paraId="2CFB86D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由龙南市自然资源局牵头、发改委、财政局、</w:t>
      </w:r>
      <w:r>
        <w:rPr>
          <w:rFonts w:hint="eastAsia" w:ascii="Times New Roman" w:hAnsi="Times New Roman" w:eastAsia="仿宋" w:cs="Times New Roman"/>
          <w:color w:val="auto"/>
          <w:sz w:val="32"/>
          <w:szCs w:val="28"/>
          <w:highlight w:val="none"/>
          <w:lang w:val="en-US" w:eastAsia="zh-CN"/>
        </w:rPr>
        <w:t>统计局、</w:t>
      </w:r>
      <w:r>
        <w:rPr>
          <w:rFonts w:hint="eastAsia" w:ascii="Times New Roman" w:hAnsi="Times New Roman" w:eastAsia="仿宋" w:cs="Times New Roman"/>
          <w:color w:val="auto"/>
          <w:sz w:val="32"/>
          <w:szCs w:val="28"/>
          <w:highlight w:val="none"/>
          <w:lang w:eastAsia="zh-CN"/>
        </w:rPr>
        <w:t>水利局、林业局、农业农村局、生态环境局、交通局、</w:t>
      </w:r>
      <w:r>
        <w:rPr>
          <w:rFonts w:hint="eastAsia" w:ascii="Times New Roman" w:hAnsi="Times New Roman" w:eastAsia="仿宋" w:cs="Times New Roman"/>
          <w:color w:val="auto"/>
          <w:sz w:val="32"/>
          <w:szCs w:val="28"/>
          <w:highlight w:val="none"/>
          <w:lang w:val="en-US" w:eastAsia="zh-CN"/>
        </w:rPr>
        <w:t>城管局、</w:t>
      </w:r>
      <w:r>
        <w:rPr>
          <w:rFonts w:hint="eastAsia" w:ascii="Times New Roman" w:hAnsi="Times New Roman" w:eastAsia="仿宋" w:cs="Times New Roman"/>
          <w:color w:val="auto"/>
          <w:sz w:val="32"/>
          <w:szCs w:val="28"/>
          <w:highlight w:val="none"/>
          <w:lang w:eastAsia="zh-CN"/>
        </w:rPr>
        <w:t>文广新旅局等相关部门参与，建立了《龙南市“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国土空间生态修复规划》编制工作协调机制，负责审定工作计划、审查规划方案、落实相关经费，及时协调解决规划编制中的重大问题。</w:t>
      </w:r>
    </w:p>
    <w:p w14:paraId="504A9A5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受</w:t>
      </w:r>
      <w:r>
        <w:rPr>
          <w:rFonts w:hint="eastAsia" w:ascii="Times New Roman" w:hAnsi="Times New Roman" w:eastAsia="仿宋" w:cs="Times New Roman"/>
          <w:color w:val="auto"/>
          <w:sz w:val="32"/>
          <w:szCs w:val="28"/>
          <w:highlight w:val="none"/>
          <w:lang w:eastAsia="zh-CN"/>
        </w:rPr>
        <w:t>龙南市自然资源局</w:t>
      </w:r>
      <w:r>
        <w:rPr>
          <w:rFonts w:hint="eastAsia" w:ascii="Times New Roman" w:hAnsi="Times New Roman" w:eastAsia="仿宋" w:cs="Times New Roman"/>
          <w:color w:val="auto"/>
          <w:sz w:val="32"/>
          <w:szCs w:val="28"/>
          <w:highlight w:val="none"/>
          <w:lang w:val="en-US" w:eastAsia="zh-CN"/>
        </w:rPr>
        <w:t>委托，江西赣南地质矿产集团有限公司（原江西赣南地质工程院）</w:t>
      </w:r>
      <w:r>
        <w:rPr>
          <w:rFonts w:hint="eastAsia" w:ascii="Times New Roman" w:hAnsi="Times New Roman" w:eastAsia="仿宋" w:cs="Times New Roman"/>
          <w:color w:val="auto"/>
          <w:sz w:val="32"/>
          <w:szCs w:val="28"/>
          <w:highlight w:val="none"/>
          <w:lang w:eastAsia="zh-CN"/>
        </w:rPr>
        <w:t>承担《规划》编制工作，组建了规划编制工作团队，涵盖地理、生态、环境、地质、水资源、土壤、土地以及规划等专业领域人员，负责方案制定、调查分析、基础研究、成果编制等工作。</w:t>
      </w:r>
    </w:p>
    <w:p w14:paraId="1DF617F1">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eastAsia="zh-CN"/>
        </w:rPr>
      </w:pPr>
      <w:r>
        <w:rPr>
          <w:rFonts w:hint="eastAsia" w:ascii="Times New Roman" w:hAnsi="Times New Roman" w:eastAsia="仿宋" w:cs="Times New Roman"/>
          <w:b/>
          <w:bCs/>
          <w:color w:val="auto"/>
          <w:sz w:val="32"/>
          <w:szCs w:val="28"/>
          <w:highlight w:val="none"/>
          <w:lang w:eastAsia="zh-CN"/>
        </w:rPr>
        <w:t>（</w:t>
      </w:r>
      <w:r>
        <w:rPr>
          <w:rFonts w:hint="eastAsia" w:ascii="Times New Roman" w:hAnsi="Times New Roman" w:eastAsia="仿宋" w:cs="Times New Roman"/>
          <w:b/>
          <w:bCs/>
          <w:color w:val="auto"/>
          <w:sz w:val="32"/>
          <w:szCs w:val="28"/>
          <w:highlight w:val="none"/>
          <w:lang w:val="en-US" w:eastAsia="zh-CN"/>
        </w:rPr>
        <w:t>2）</w:t>
      </w:r>
      <w:r>
        <w:rPr>
          <w:rFonts w:hint="eastAsia" w:ascii="Times New Roman" w:hAnsi="Times New Roman" w:eastAsia="仿宋" w:cs="Times New Roman"/>
          <w:b/>
          <w:bCs/>
          <w:color w:val="auto"/>
          <w:sz w:val="32"/>
          <w:szCs w:val="28"/>
          <w:highlight w:val="none"/>
          <w:lang w:eastAsia="zh-CN"/>
        </w:rPr>
        <w:t>考察交流与学习阶段</w:t>
      </w:r>
    </w:p>
    <w:p w14:paraId="55DC156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2021年3月2</w:t>
      </w:r>
      <w:r>
        <w:rPr>
          <w:rFonts w:hint="eastAsia" w:ascii="Times New Roman" w:hAnsi="Times New Roman" w:eastAsia="仿宋" w:cs="Times New Roman"/>
          <w:color w:val="auto"/>
          <w:sz w:val="32"/>
          <w:szCs w:val="28"/>
          <w:highlight w:val="none"/>
          <w:lang w:val="en-US" w:eastAsia="zh-CN"/>
        </w:rPr>
        <w:t>3</w:t>
      </w:r>
      <w:r>
        <w:rPr>
          <w:rFonts w:hint="eastAsia" w:ascii="Times New Roman" w:hAnsi="Times New Roman" w:eastAsia="仿宋" w:cs="Times New Roman"/>
          <w:color w:val="auto"/>
          <w:sz w:val="32"/>
          <w:szCs w:val="28"/>
          <w:highlight w:val="none"/>
          <w:lang w:eastAsia="zh-CN"/>
        </w:rPr>
        <w:t>日，编制单位</w:t>
      </w:r>
      <w:r>
        <w:rPr>
          <w:rFonts w:hint="eastAsia" w:ascii="Times New Roman" w:hAnsi="Times New Roman" w:eastAsia="仿宋" w:cs="Times New Roman"/>
          <w:color w:val="auto"/>
          <w:sz w:val="32"/>
          <w:szCs w:val="28"/>
          <w:highlight w:val="none"/>
          <w:lang w:val="en-US" w:eastAsia="zh-CN"/>
        </w:rPr>
        <w:t>邀请了江西</w:t>
      </w:r>
      <w:r>
        <w:rPr>
          <w:rFonts w:hint="eastAsia" w:ascii="Times New Roman" w:hAnsi="Times New Roman" w:eastAsia="仿宋" w:cs="Times New Roman"/>
          <w:color w:val="auto"/>
          <w:sz w:val="32"/>
          <w:szCs w:val="28"/>
          <w:highlight w:val="none"/>
          <w:lang w:eastAsia="zh-CN"/>
        </w:rPr>
        <w:t>省国土资源厅矿产资源储量处</w:t>
      </w:r>
      <w:r>
        <w:rPr>
          <w:rFonts w:hint="eastAsia" w:ascii="Times New Roman" w:hAnsi="Times New Roman" w:eastAsia="仿宋" w:cs="Times New Roman"/>
          <w:color w:val="auto"/>
          <w:sz w:val="32"/>
          <w:szCs w:val="28"/>
          <w:highlight w:val="none"/>
          <w:lang w:val="en-US" w:eastAsia="zh-CN"/>
        </w:rPr>
        <w:t>许建祥处长（教授级高工），针对国土空间生态修复规划编制方法与内容进行了讲座授课。</w:t>
      </w:r>
    </w:p>
    <w:p w14:paraId="044512A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w:t>
      </w:r>
      <w:r>
        <w:rPr>
          <w:rFonts w:hint="eastAsia" w:ascii="Times New Roman" w:hAnsi="Times New Roman" w:eastAsia="仿宋" w:cs="Times New Roman"/>
          <w:color w:val="auto"/>
          <w:sz w:val="32"/>
          <w:szCs w:val="28"/>
          <w:highlight w:val="none"/>
          <w:lang w:val="en-US" w:eastAsia="zh-CN"/>
        </w:rPr>
        <w:t>4</w:t>
      </w:r>
      <w:r>
        <w:rPr>
          <w:rFonts w:hint="eastAsia" w:ascii="Times New Roman" w:hAnsi="Times New Roman" w:eastAsia="仿宋" w:cs="Times New Roman"/>
          <w:color w:val="auto"/>
          <w:sz w:val="32"/>
          <w:szCs w:val="28"/>
          <w:highlight w:val="none"/>
          <w:lang w:eastAsia="zh-CN"/>
        </w:rPr>
        <w:t>月</w:t>
      </w: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日</w:t>
      </w:r>
      <w:r>
        <w:rPr>
          <w:rFonts w:hint="eastAsia" w:ascii="Times New Roman" w:hAnsi="Times New Roman" w:eastAsia="仿宋" w:cs="Times New Roman"/>
          <w:color w:val="auto"/>
          <w:sz w:val="32"/>
          <w:szCs w:val="28"/>
          <w:highlight w:val="none"/>
          <w:lang w:val="en-US" w:eastAsia="zh-CN"/>
        </w:rPr>
        <w:t>-11日，</w:t>
      </w:r>
      <w:r>
        <w:rPr>
          <w:rFonts w:hint="eastAsia" w:ascii="Times New Roman" w:hAnsi="Times New Roman" w:eastAsia="仿宋" w:cs="Times New Roman"/>
          <w:color w:val="auto"/>
          <w:sz w:val="32"/>
          <w:szCs w:val="28"/>
          <w:highlight w:val="none"/>
          <w:lang w:eastAsia="zh-CN"/>
        </w:rPr>
        <w:t>编制单位参加了中国国土经济学会举办的“</w:t>
      </w:r>
      <w:r>
        <w:rPr>
          <w:rFonts w:hint="eastAsia" w:ascii="Times New Roman" w:hAnsi="Times New Roman" w:eastAsia="仿宋" w:cs="Times New Roman"/>
          <w:color w:val="auto"/>
          <w:sz w:val="32"/>
          <w:szCs w:val="28"/>
          <w:highlight w:val="none"/>
          <w:lang w:val="en-US" w:eastAsia="zh-CN"/>
        </w:rPr>
        <w:t>国土空间生态修复规划编制探索和实践”培训</w:t>
      </w:r>
      <w:r>
        <w:rPr>
          <w:rFonts w:hint="eastAsia" w:ascii="Times New Roman" w:hAnsi="Times New Roman" w:eastAsia="仿宋" w:cs="Times New Roman"/>
          <w:color w:val="auto"/>
          <w:sz w:val="32"/>
          <w:szCs w:val="28"/>
          <w:highlight w:val="none"/>
          <w:lang w:eastAsia="zh-CN"/>
        </w:rPr>
        <w:t>，邀请了北京师范大学、浙江大学多名权威教授进行授课。</w:t>
      </w:r>
    </w:p>
    <w:p w14:paraId="3B63C2F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lang w:eastAsia="zh-CN"/>
        </w:rPr>
        <w:t xml:space="preserve"> 年8月2日，确定了联络工作机制，确定了规划思路、建立了专家咨询组，并撰写了规划提纲。</w:t>
      </w:r>
    </w:p>
    <w:p w14:paraId="60B70F9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8月25日-26日编制单位参加了中国管理科学研究院职业资格认证培训中心举办的“国土空间生态修复与规划方案编制思路、方法技巧+案例模板全过程分析讲解高级研修班”的培训，主办方邀请了中规院（北京）规划设计公司教授级高级城市规划师、自然资源部国土资源经济研究院研究员等多名权威教授进行授课。</w:t>
      </w:r>
    </w:p>
    <w:p w14:paraId="6D6D24C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9月8日-9日编制单位参加了中国国土经济学会举办的“市县级国土空间生态修复规划编制方法和案例解析”培训会，主办方邀请了中国农业大学、中国地质大学、四川省国土科技研究院、中国水利水电科学研究院水生态环境所等多名权威教授进行授课。</w:t>
      </w:r>
    </w:p>
    <w:p w14:paraId="454C0D3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2021年9月11日-17日编制单位走访了规划各成员单位，广泛收集了各相关部门“十四五”时期的发展思路、主要需求、重点项目、意见建议等相关资料。</w:t>
      </w:r>
    </w:p>
    <w:p w14:paraId="3314D643">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（3）资料收集阶段</w:t>
      </w:r>
    </w:p>
    <w:p w14:paraId="6753F94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lang w:eastAsia="zh-CN"/>
        </w:rPr>
        <w:t>主要基础数据资料的收集</w:t>
      </w:r>
    </w:p>
    <w:p w14:paraId="52D0B8F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①自然地理数据及资料。包括相应层级行政界线、测绘、地理国情监测等数据，以及气候、地形、地貌、地质、水文、土壤、生物等自然地理信息数据。</w:t>
      </w:r>
    </w:p>
    <w:p w14:paraId="3C17E7A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②生态基础数据及资料。包括历史多期全市主要生态系统调查监测数据，生物多样性、荒漠化/沙漠化、水土流失、矿山地质环境等专项调查监测成果，相关科研成果等。</w:t>
      </w:r>
    </w:p>
    <w:p w14:paraId="2677F8A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③自然资源调查监测数据。包括赣州市第三次全国国土调查（以下简称“三调”）成果、历史多期全市土地利用现状土地利用变更调查数据，以及耕地、森林、草原、湿地、水、矿产等自然资源调查监测成果数据。</w:t>
      </w:r>
    </w:p>
    <w:p w14:paraId="3CF52D3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④经济社会数据。包括人口、经济、农业、城镇建设，以及相关部门、行业的专项数据。</w:t>
      </w:r>
    </w:p>
    <w:p w14:paraId="2195868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⑤相关规划和成果。包括生态保护红线、永久基本农田、城镇开发边界三条控制线划定成果，有关国土空间规划成果，自然保护地建设情况，林草、矿产、产业、交通、水利等相关领域规划或成果等。</w:t>
      </w:r>
    </w:p>
    <w:p w14:paraId="51EB116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相关基础数据经过校准核验，可以作为基础调查成果进行使用。</w:t>
      </w:r>
    </w:p>
    <w:p w14:paraId="4A901D9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lang w:eastAsia="zh-CN"/>
        </w:rPr>
        <w:t>底数底图的确定</w:t>
      </w:r>
    </w:p>
    <w:p w14:paraId="4D3A7DB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以全国第三次国土调查数据作为规划现状底数和底图基础，以其他调查监测成果为补充。统一采用2000国家大地坐标系和1985 国家高程基准作为空间定位基础。</w:t>
      </w:r>
    </w:p>
    <w:p w14:paraId="3DEE0D88">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b/>
          <w:bCs/>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（4）既往工作评估与资料分析整理阶段</w:t>
      </w:r>
    </w:p>
    <w:p w14:paraId="1A20401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本阶段工作通过对所收集历史资料的分析、对比与研判，对</w:t>
      </w:r>
      <w:r>
        <w:rPr>
          <w:rFonts w:hint="eastAsia" w:ascii="Times New Roman" w:hAnsi="Times New Roman" w:eastAsia="仿宋" w:cs="Times New Roman"/>
          <w:color w:val="auto"/>
          <w:sz w:val="32"/>
          <w:szCs w:val="28"/>
          <w:highlight w:val="none"/>
          <w:lang w:val="en-US" w:eastAsia="zh-CN"/>
        </w:rPr>
        <w:t>龙南市</w:t>
      </w:r>
      <w:r>
        <w:rPr>
          <w:rFonts w:hint="eastAsia" w:ascii="Times New Roman" w:hAnsi="Times New Roman" w:eastAsia="仿宋" w:cs="Times New Roman"/>
          <w:color w:val="auto"/>
          <w:sz w:val="32"/>
          <w:szCs w:val="28"/>
          <w:highlight w:val="none"/>
          <w:lang w:eastAsia="zh-CN"/>
        </w:rPr>
        <w:t>范围内涉及生态修复的各类规划及相关工作（如山水林田湖草生态保护修复、国土综合整治、国土绿化、</w:t>
      </w:r>
      <w:r>
        <w:rPr>
          <w:rFonts w:hint="eastAsia" w:ascii="Times New Roman" w:hAnsi="Times New Roman" w:eastAsia="仿宋" w:cs="Times New Roman"/>
          <w:color w:val="auto"/>
          <w:sz w:val="32"/>
          <w:szCs w:val="28"/>
          <w:highlight w:val="none"/>
          <w:lang w:val="en-US" w:eastAsia="zh-CN"/>
        </w:rPr>
        <w:t>低质低效林改造、水土流失综合治理、</w:t>
      </w:r>
      <w:r>
        <w:rPr>
          <w:rFonts w:hint="eastAsia" w:ascii="Times New Roman" w:hAnsi="Times New Roman" w:eastAsia="仿宋" w:cs="Times New Roman"/>
          <w:color w:val="auto"/>
          <w:sz w:val="32"/>
          <w:szCs w:val="28"/>
          <w:highlight w:val="none"/>
          <w:lang w:eastAsia="zh-CN"/>
        </w:rPr>
        <w:t>自然保护地建设、矿山</w:t>
      </w:r>
      <w:r>
        <w:rPr>
          <w:rFonts w:hint="eastAsia" w:ascii="Times New Roman" w:hAnsi="Times New Roman" w:eastAsia="仿宋" w:cs="Times New Roman"/>
          <w:color w:val="auto"/>
          <w:sz w:val="32"/>
          <w:szCs w:val="28"/>
          <w:highlight w:val="none"/>
          <w:lang w:val="en-US" w:eastAsia="zh-CN"/>
        </w:rPr>
        <w:t>环境</w:t>
      </w:r>
      <w:r>
        <w:rPr>
          <w:rFonts w:hint="eastAsia" w:ascii="Times New Roman" w:hAnsi="Times New Roman" w:eastAsia="仿宋" w:cs="Times New Roman"/>
          <w:color w:val="auto"/>
          <w:sz w:val="32"/>
          <w:szCs w:val="28"/>
          <w:highlight w:val="none"/>
          <w:lang w:eastAsia="zh-CN"/>
        </w:rPr>
        <w:t>恢复治理等）开展情况，进行了分析评估，得到以下结论：</w:t>
      </w:r>
    </w:p>
    <w:p w14:paraId="6C19838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1）现状方面，</w:t>
      </w:r>
      <w:r>
        <w:rPr>
          <w:rFonts w:hint="eastAsia" w:ascii="Times New Roman" w:hAnsi="Times New Roman" w:eastAsia="仿宋" w:cs="Times New Roman"/>
          <w:color w:val="auto"/>
          <w:sz w:val="32"/>
          <w:szCs w:val="28"/>
          <w:highlight w:val="none"/>
          <w:lang w:val="en-US" w:eastAsia="zh-CN"/>
        </w:rPr>
        <w:t>龙南市</w:t>
      </w:r>
      <w:r>
        <w:rPr>
          <w:rFonts w:hint="eastAsia" w:ascii="Times New Roman" w:hAnsi="Times New Roman" w:eastAsia="仿宋" w:cs="Times New Roman"/>
          <w:color w:val="auto"/>
          <w:sz w:val="32"/>
          <w:szCs w:val="28"/>
          <w:highlight w:val="none"/>
          <w:lang w:eastAsia="zh-CN"/>
        </w:rPr>
        <w:t>经过近几十年的生态保护和修复，全市生态环境总体良好，主要表现在：①森林覆盖率高；②水资源较为丰沛；③空气质量优良；④生物多样性丰富。</w:t>
      </w:r>
    </w:p>
    <w:p w14:paraId="3A84EEE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工作成效方面，森林保育工作卓有成效，生态资源库存持续扩大；水生态环境治理有效，污染防治工作成效显著；水生态环境治理有效，污染防治工作成效显著；加大矿山治理力度，矿山环境修复成效显著；生态修复持续推进、发展基础不断夯实；水土流失防治日臻完善，水土保持综合治理硕果累。</w:t>
      </w:r>
    </w:p>
    <w:p w14:paraId="3DEC3E9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3）面临的主要问题方面，主要包括：①森林生态系统质量不高、生物多样性保护压力大；②生境质量有待提高，生态保护压力不断加大；③矿山环境受损，部分区域历史遗留问题突出；④部分区域水环境质量下降，需要进行整体提升；⑤相农业生态系统有所退化，农田与农村生态建设有待加强；⑥城乡人居环境相对脆弱，人地矛盾较为突出；⑦水土流失形势依旧严峻，综合治理依然繁重；⑧生态保护修复机制体制尚不完善。</w:t>
      </w:r>
    </w:p>
    <w:p w14:paraId="033B6C6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4</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规划关键数据</w:t>
      </w:r>
      <w:r>
        <w:rPr>
          <w:rFonts w:hint="eastAsia" w:ascii="Times New Roman" w:hAnsi="Times New Roman" w:eastAsia="仿宋" w:cs="Times New Roman"/>
          <w:color w:val="auto"/>
          <w:sz w:val="32"/>
          <w:szCs w:val="28"/>
          <w:highlight w:val="none"/>
          <w:lang w:eastAsia="zh-CN"/>
        </w:rPr>
        <w:t>方面，主要包括：①“</w:t>
      </w:r>
      <w:r>
        <w:rPr>
          <w:rFonts w:hint="eastAsia" w:ascii="Times New Roman" w:hAnsi="Times New Roman" w:eastAsia="仿宋" w:cs="Times New Roman"/>
          <w:color w:val="auto"/>
          <w:sz w:val="32"/>
          <w:szCs w:val="28"/>
          <w:highlight w:val="none"/>
          <w:lang w:val="en-US" w:eastAsia="zh-CN"/>
        </w:rPr>
        <w:t>十三五”期间生态保护修复方面相关规划主要指标的完成情况及数据</w:t>
      </w:r>
      <w:r>
        <w:rPr>
          <w:rFonts w:hint="eastAsia" w:ascii="Times New Roman" w:hAnsi="Times New Roman" w:eastAsia="仿宋" w:cs="Times New Roman"/>
          <w:color w:val="auto"/>
          <w:sz w:val="32"/>
          <w:szCs w:val="28"/>
          <w:highlight w:val="none"/>
          <w:lang w:eastAsia="zh-CN"/>
        </w:rPr>
        <w:t>；②“</w:t>
      </w:r>
      <w:r>
        <w:rPr>
          <w:rFonts w:hint="eastAsia" w:ascii="Times New Roman" w:hAnsi="Times New Roman" w:eastAsia="仿宋" w:cs="Times New Roman"/>
          <w:color w:val="auto"/>
          <w:sz w:val="32"/>
          <w:szCs w:val="28"/>
          <w:highlight w:val="none"/>
          <w:lang w:val="en-US" w:eastAsia="zh-CN"/>
        </w:rPr>
        <w:t>十四五”国土空间生态修复规划目标主要指标数据；</w:t>
      </w:r>
      <w:r>
        <w:rPr>
          <w:rFonts w:hint="eastAsia" w:ascii="Times New Roman" w:hAnsi="Times New Roman" w:eastAsia="仿宋" w:cs="Times New Roman"/>
          <w:color w:val="auto"/>
          <w:sz w:val="32"/>
          <w:szCs w:val="28"/>
          <w:highlight w:val="none"/>
          <w:lang w:eastAsia="zh-CN"/>
        </w:rPr>
        <w:t>③“</w:t>
      </w:r>
      <w:r>
        <w:rPr>
          <w:rFonts w:hint="eastAsia" w:ascii="Times New Roman" w:hAnsi="Times New Roman" w:eastAsia="仿宋" w:cs="Times New Roman"/>
          <w:color w:val="auto"/>
          <w:sz w:val="32"/>
          <w:szCs w:val="28"/>
          <w:highlight w:val="none"/>
          <w:lang w:val="en-US" w:eastAsia="zh-CN"/>
        </w:rPr>
        <w:t>十四五”国土空间生态修复规划重大工程项目及其投资金额。</w:t>
      </w:r>
    </w:p>
    <w:p w14:paraId="347B8275">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规划文本编制阶段（2021年10月-11月）</w:t>
      </w:r>
    </w:p>
    <w:p w14:paraId="24EB852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2021年10月31日，在确定基本思路后，广泛征求各规划编制成员单位的意见，结合上述所有收集到的各方意见和建议，编制形成了《龙南市“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国土空间生态修复规划》初稿。</w:t>
      </w:r>
    </w:p>
    <w:p w14:paraId="335721A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2021年11月3日，编制小组与上位规划衔接，编制小组与《赣州市“十四五”国土空间生态修复规划》编制小组进行了编制工作交流，了解了《赣州市“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w:t>
      </w:r>
      <w:r>
        <w:rPr>
          <w:rFonts w:hint="eastAsia" w:ascii="Times New Roman" w:hAnsi="Times New Roman" w:eastAsia="仿宋" w:cs="Times New Roman"/>
          <w:color w:val="auto"/>
          <w:sz w:val="32"/>
          <w:szCs w:val="28"/>
          <w:highlight w:val="none"/>
          <w:lang w:val="en-US" w:eastAsia="zh-CN"/>
        </w:rPr>
        <w:t>生态修复</w:t>
      </w:r>
      <w:r>
        <w:rPr>
          <w:rFonts w:hint="eastAsia" w:ascii="Times New Roman" w:hAnsi="Times New Roman" w:eastAsia="仿宋" w:cs="Times New Roman"/>
          <w:color w:val="auto"/>
          <w:sz w:val="32"/>
          <w:szCs w:val="28"/>
          <w:highlight w:val="none"/>
          <w:lang w:eastAsia="zh-CN"/>
        </w:rPr>
        <w:t>规划》编制思路和进程，同时向市级规划编制小组汇报了《</w:t>
      </w:r>
      <w:r>
        <w:rPr>
          <w:rFonts w:hint="eastAsia" w:ascii="Times New Roman" w:hAnsi="Times New Roman" w:eastAsia="仿宋" w:cs="Times New Roman"/>
          <w:color w:val="auto"/>
          <w:sz w:val="32"/>
          <w:szCs w:val="28"/>
          <w:highlight w:val="none"/>
          <w:lang w:val="en-US" w:eastAsia="zh-CN"/>
        </w:rPr>
        <w:t>龙南市“十四五”</w:t>
      </w:r>
      <w:r>
        <w:rPr>
          <w:rFonts w:hint="eastAsia" w:ascii="Times New Roman" w:hAnsi="Times New Roman" w:eastAsia="仿宋" w:cs="Times New Roman"/>
          <w:color w:val="auto"/>
          <w:sz w:val="32"/>
          <w:szCs w:val="28"/>
          <w:highlight w:val="none"/>
          <w:lang w:eastAsia="zh-CN"/>
        </w:rPr>
        <w:t>国土空间</w:t>
      </w:r>
      <w:r>
        <w:rPr>
          <w:rFonts w:hint="eastAsia" w:ascii="Times New Roman" w:hAnsi="Times New Roman" w:eastAsia="仿宋" w:cs="Times New Roman"/>
          <w:color w:val="auto"/>
          <w:sz w:val="32"/>
          <w:szCs w:val="28"/>
          <w:highlight w:val="none"/>
          <w:lang w:val="en-US" w:eastAsia="zh-CN"/>
        </w:rPr>
        <w:t>生态修复</w:t>
      </w:r>
      <w:r>
        <w:rPr>
          <w:rFonts w:hint="eastAsia" w:ascii="Times New Roman" w:hAnsi="Times New Roman" w:eastAsia="仿宋" w:cs="Times New Roman"/>
          <w:color w:val="auto"/>
          <w:sz w:val="32"/>
          <w:szCs w:val="28"/>
          <w:highlight w:val="none"/>
          <w:lang w:eastAsia="zh-CN"/>
        </w:rPr>
        <w:t>规划》编制思路。市级规划编制小组也对龙南市规划编制提出了部分意见和建议，进行了市-县规划编制衔接。</w:t>
      </w:r>
    </w:p>
    <w:p w14:paraId="052DE25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2021年11月26日，编制小组向龙南市自然资源局汇报了规划编制进展，并按照领导和专家的意见及建议对《龙南市“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国土空间生态修复规划》初稿进行了调整和修改。</w:t>
      </w:r>
    </w:p>
    <w:p w14:paraId="44DD4E0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2021年11月30日，形成了《龙南市“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w:t>
      </w:r>
    </w:p>
    <w:p w14:paraId="32D59353">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文本讨论与完善阶段（2021年12月）</w:t>
      </w:r>
    </w:p>
    <w:p w14:paraId="59A9988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2021年11月30日，《龙南市“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提交至龙南市自然资源局，并在局内征求各相关股室意见。2021年12月5日，完成了各相关股室意见征求。编制小组多次组织会议，针对意见进行讨论，确定部分采纳意见和部分不采纳意见及相关理由，按照讨论结果参考各部门意见对征求意见稿进行修改，最终确定了“一屏、三网、三区”的生态修复总体布局。</w:t>
      </w:r>
    </w:p>
    <w:p w14:paraId="1E7A96A0">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4. 征求意见及论证阶段（2021年12月-2022年6月） </w:t>
      </w:r>
    </w:p>
    <w:p w14:paraId="6F9BD1E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2021年12月8日，将《龙南市“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发至龙南市自然资源局、市发改委、市财政局、市农业农村局、市水利局、市生态环境局、市林业局、市住建局、市交通局、市文广新旅局等相关部门征求意见，根据提出的意见进行讨论、修改。并结合相关规划内容，进行了补充完善。</w:t>
      </w:r>
    </w:p>
    <w:p w14:paraId="32F0268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2021年12月10日，将《龙南市“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国土空间生态修复规划（征求意见稿）》发至龙南市各乡镇征求意见，根据提出的意见进行讨论、修改完善。</w:t>
      </w:r>
    </w:p>
    <w:p w14:paraId="6739A9D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lang w:eastAsia="zh-CN"/>
        </w:rPr>
        <w:t>年12月</w:t>
      </w:r>
      <w:r>
        <w:rPr>
          <w:rFonts w:hint="eastAsia" w:ascii="Times New Roman" w:hAnsi="Times New Roman" w:eastAsia="仿宋" w:cs="Times New Roman"/>
          <w:color w:val="auto"/>
          <w:sz w:val="32"/>
          <w:szCs w:val="28"/>
          <w:highlight w:val="none"/>
          <w:lang w:val="en-US" w:eastAsia="zh-CN"/>
        </w:rPr>
        <w:t>21</w:t>
      </w:r>
      <w:r>
        <w:rPr>
          <w:rFonts w:hint="eastAsia" w:ascii="Times New Roman" w:hAnsi="Times New Roman" w:eastAsia="仿宋" w:cs="Times New Roman"/>
          <w:color w:val="auto"/>
          <w:sz w:val="32"/>
          <w:szCs w:val="28"/>
          <w:highlight w:val="none"/>
          <w:lang w:eastAsia="zh-CN"/>
        </w:rPr>
        <w:t>日，编制小组组织召开了关于《</w:t>
      </w:r>
      <w:r>
        <w:rPr>
          <w:rFonts w:hint="eastAsia" w:ascii="Times New Roman" w:hAnsi="Times New Roman" w:eastAsia="仿宋" w:cs="Times New Roman"/>
          <w:color w:val="auto"/>
          <w:sz w:val="32"/>
          <w:szCs w:val="28"/>
          <w:highlight w:val="none"/>
          <w:lang w:val="en-US" w:eastAsia="zh-CN"/>
        </w:rPr>
        <w:t>龙南</w:t>
      </w:r>
      <w:r>
        <w:rPr>
          <w:rFonts w:hint="eastAsia" w:ascii="Times New Roman" w:hAnsi="Times New Roman" w:eastAsia="仿宋" w:cs="Times New Roman"/>
          <w:color w:val="auto"/>
          <w:sz w:val="32"/>
          <w:szCs w:val="28"/>
          <w:highlight w:val="none"/>
          <w:lang w:eastAsia="zh-CN"/>
        </w:rPr>
        <w:t>市“十四五”国土空间生态修复规划（征求意见稿）》的专家咨询会，邀请了相关领域专家针对规划文本提出咨询建议，根据提出的意见进行讨论、修改。</w:t>
      </w:r>
    </w:p>
    <w:p w14:paraId="492D270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2021年12月</w:t>
      </w:r>
      <w:r>
        <w:rPr>
          <w:rFonts w:hint="eastAsia" w:ascii="Times New Roman" w:hAnsi="Times New Roman" w:eastAsia="仿宋" w:cs="Times New Roman"/>
          <w:color w:val="auto"/>
          <w:sz w:val="32"/>
          <w:szCs w:val="28"/>
          <w:highlight w:val="none"/>
          <w:lang w:val="en-US" w:eastAsia="zh-CN"/>
        </w:rPr>
        <w:t>27</w:t>
      </w:r>
      <w:r>
        <w:rPr>
          <w:rFonts w:hint="eastAsia" w:ascii="Times New Roman" w:hAnsi="Times New Roman" w:eastAsia="仿宋" w:cs="Times New Roman"/>
          <w:color w:val="auto"/>
          <w:sz w:val="32"/>
          <w:szCs w:val="28"/>
          <w:highlight w:val="none"/>
          <w:lang w:eastAsia="zh-CN"/>
        </w:rPr>
        <w:t>日编制小组根据多方面征求意见的结果，对《规划》完成了文本修改与完善，</w:t>
      </w:r>
      <w:r>
        <w:rPr>
          <w:rFonts w:hint="eastAsia" w:ascii="Times New Roman" w:hAnsi="Times New Roman" w:eastAsia="仿宋" w:cs="Times New Roman"/>
          <w:color w:val="auto"/>
          <w:sz w:val="32"/>
          <w:szCs w:val="28"/>
          <w:highlight w:val="none"/>
          <w:lang w:val="en-US" w:eastAsia="zh-CN"/>
        </w:rPr>
        <w:t>形成《规划（送审稿）》，</w:t>
      </w:r>
      <w:r>
        <w:rPr>
          <w:rFonts w:hint="eastAsia" w:ascii="Times New Roman" w:hAnsi="Times New Roman" w:eastAsia="仿宋" w:cs="Times New Roman"/>
          <w:color w:val="auto"/>
          <w:sz w:val="32"/>
          <w:szCs w:val="28"/>
          <w:highlight w:val="none"/>
          <w:lang w:eastAsia="zh-CN"/>
        </w:rPr>
        <w:t>并于202</w:t>
      </w: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lang w:eastAsia="zh-CN"/>
        </w:rPr>
        <w:t>年</w:t>
      </w:r>
      <w:r>
        <w:rPr>
          <w:rFonts w:hint="eastAsia" w:ascii="Times New Roman" w:hAnsi="Times New Roman" w:eastAsia="仿宋" w:cs="Times New Roman"/>
          <w:color w:val="auto"/>
          <w:sz w:val="32"/>
          <w:szCs w:val="28"/>
          <w:highlight w:val="none"/>
          <w:lang w:val="en-US" w:eastAsia="zh-CN"/>
        </w:rPr>
        <w:t>6</w:t>
      </w:r>
      <w:r>
        <w:rPr>
          <w:rFonts w:hint="eastAsia" w:ascii="Times New Roman" w:hAnsi="Times New Roman" w:eastAsia="仿宋" w:cs="Times New Roman"/>
          <w:color w:val="auto"/>
          <w:sz w:val="32"/>
          <w:szCs w:val="28"/>
          <w:highlight w:val="none"/>
          <w:lang w:eastAsia="zh-CN"/>
        </w:rPr>
        <w:t>月</w:t>
      </w:r>
      <w:r>
        <w:rPr>
          <w:rFonts w:hint="eastAsia" w:ascii="Times New Roman" w:hAnsi="Times New Roman" w:eastAsia="仿宋" w:cs="Times New Roman"/>
          <w:color w:val="auto"/>
          <w:sz w:val="32"/>
          <w:szCs w:val="28"/>
          <w:highlight w:val="none"/>
          <w:lang w:val="en-US" w:eastAsia="zh-CN"/>
        </w:rPr>
        <w:t>16</w:t>
      </w:r>
      <w:r>
        <w:rPr>
          <w:rFonts w:hint="eastAsia" w:ascii="Times New Roman" w:hAnsi="Times New Roman" w:eastAsia="仿宋" w:cs="Times New Roman"/>
          <w:color w:val="auto"/>
          <w:sz w:val="32"/>
          <w:szCs w:val="28"/>
          <w:highlight w:val="none"/>
          <w:lang w:eastAsia="zh-CN"/>
        </w:rPr>
        <w:t>日</w:t>
      </w:r>
      <w:r>
        <w:rPr>
          <w:rFonts w:hint="eastAsia" w:ascii="Times New Roman" w:hAnsi="Times New Roman" w:eastAsia="仿宋" w:cs="Times New Roman"/>
          <w:color w:val="auto"/>
          <w:sz w:val="32"/>
          <w:szCs w:val="28"/>
          <w:highlight w:val="none"/>
          <w:lang w:val="en-US" w:eastAsia="zh-CN"/>
        </w:rPr>
        <w:t>赣州</w:t>
      </w:r>
      <w:r>
        <w:rPr>
          <w:rFonts w:hint="eastAsia" w:ascii="Times New Roman" w:hAnsi="Times New Roman" w:eastAsia="仿宋" w:cs="Times New Roman"/>
          <w:color w:val="auto"/>
          <w:sz w:val="32"/>
          <w:szCs w:val="28"/>
          <w:highlight w:val="none"/>
          <w:lang w:eastAsia="zh-CN"/>
        </w:rPr>
        <w:t>市自然资源局组织专家对《规划》进行了审查论证。202</w:t>
      </w:r>
      <w:r>
        <w:rPr>
          <w:rFonts w:hint="eastAsia" w:ascii="Times New Roman" w:hAnsi="Times New Roman" w:eastAsia="仿宋" w:cs="Times New Roman"/>
          <w:color w:val="auto"/>
          <w:sz w:val="32"/>
          <w:szCs w:val="28"/>
          <w:highlight w:val="none"/>
          <w:lang w:val="en-US" w:eastAsia="zh-CN"/>
        </w:rPr>
        <w:t>2</w:t>
      </w:r>
      <w:r>
        <w:rPr>
          <w:rFonts w:hint="eastAsia" w:ascii="Times New Roman" w:hAnsi="Times New Roman" w:eastAsia="仿宋" w:cs="Times New Roman"/>
          <w:color w:val="auto"/>
          <w:sz w:val="32"/>
          <w:szCs w:val="28"/>
          <w:highlight w:val="none"/>
          <w:lang w:eastAsia="zh-CN"/>
        </w:rPr>
        <w:t>年</w:t>
      </w:r>
      <w:r>
        <w:rPr>
          <w:rFonts w:hint="eastAsia" w:ascii="Times New Roman" w:hAnsi="Times New Roman" w:eastAsia="仿宋" w:cs="Times New Roman"/>
          <w:color w:val="auto"/>
          <w:sz w:val="32"/>
          <w:szCs w:val="28"/>
          <w:highlight w:val="none"/>
          <w:lang w:val="en-US" w:eastAsia="zh-CN"/>
        </w:rPr>
        <w:t>9</w:t>
      </w:r>
      <w:r>
        <w:rPr>
          <w:rFonts w:hint="eastAsia" w:ascii="Times New Roman" w:hAnsi="Times New Roman" w:eastAsia="仿宋" w:cs="Times New Roman"/>
          <w:color w:val="auto"/>
          <w:sz w:val="32"/>
          <w:szCs w:val="28"/>
          <w:highlight w:val="none"/>
          <w:lang w:eastAsia="zh-CN"/>
        </w:rPr>
        <w:t>月</w:t>
      </w:r>
      <w:r>
        <w:rPr>
          <w:rFonts w:hint="eastAsia" w:ascii="Times New Roman" w:hAnsi="Times New Roman" w:eastAsia="仿宋" w:cs="Times New Roman"/>
          <w:color w:val="auto"/>
          <w:sz w:val="32"/>
          <w:szCs w:val="28"/>
          <w:highlight w:val="none"/>
          <w:lang w:val="en-US" w:eastAsia="zh-CN"/>
        </w:rPr>
        <w:t>28</w:t>
      </w:r>
      <w:r>
        <w:rPr>
          <w:rFonts w:hint="eastAsia" w:ascii="Times New Roman" w:hAnsi="Times New Roman" w:eastAsia="仿宋" w:cs="Times New Roman"/>
          <w:color w:val="auto"/>
          <w:sz w:val="32"/>
          <w:szCs w:val="28"/>
          <w:highlight w:val="none"/>
          <w:lang w:eastAsia="zh-CN"/>
        </w:rPr>
        <w:t>日，编制小组</w:t>
      </w:r>
      <w:r>
        <w:rPr>
          <w:rFonts w:hint="eastAsia" w:ascii="Times New Roman" w:hAnsi="Times New Roman" w:eastAsia="仿宋" w:cs="Times New Roman"/>
          <w:color w:val="auto"/>
          <w:sz w:val="32"/>
          <w:szCs w:val="28"/>
          <w:highlight w:val="none"/>
          <w:lang w:val="en-US" w:eastAsia="zh-CN"/>
        </w:rPr>
        <w:t>根据评审专家和龙南市相关部门意见完成了《规划》</w:t>
      </w:r>
      <w:r>
        <w:rPr>
          <w:rFonts w:hint="eastAsia" w:ascii="Times New Roman" w:hAnsi="Times New Roman" w:eastAsia="仿宋" w:cs="Times New Roman"/>
          <w:color w:val="auto"/>
          <w:sz w:val="32"/>
          <w:szCs w:val="28"/>
          <w:highlight w:val="none"/>
          <w:lang w:eastAsia="zh-CN"/>
        </w:rPr>
        <w:t>修改和</w:t>
      </w:r>
      <w:r>
        <w:rPr>
          <w:rFonts w:hint="eastAsia" w:ascii="Times New Roman" w:hAnsi="Times New Roman" w:eastAsia="仿宋" w:cs="Times New Roman"/>
          <w:color w:val="auto"/>
          <w:sz w:val="32"/>
          <w:szCs w:val="28"/>
          <w:highlight w:val="none"/>
          <w:lang w:val="en-US" w:eastAsia="zh-CN"/>
        </w:rPr>
        <w:t>补充</w:t>
      </w:r>
      <w:r>
        <w:rPr>
          <w:rFonts w:hint="eastAsia" w:ascii="Times New Roman" w:hAnsi="Times New Roman" w:eastAsia="仿宋" w:cs="Times New Roman"/>
          <w:color w:val="auto"/>
          <w:sz w:val="32"/>
          <w:szCs w:val="28"/>
          <w:highlight w:val="none"/>
          <w:lang w:eastAsia="zh-CN"/>
        </w:rPr>
        <w:t>，最终形成《龙南市“</w:t>
      </w:r>
      <w:r>
        <w:rPr>
          <w:rFonts w:hint="eastAsia" w:ascii="Times New Roman" w:hAnsi="Times New Roman" w:eastAsia="仿宋" w:cs="Times New Roman"/>
          <w:color w:val="auto"/>
          <w:sz w:val="32"/>
          <w:szCs w:val="28"/>
          <w:highlight w:val="none"/>
          <w:lang w:val="en-US" w:eastAsia="zh-CN"/>
        </w:rPr>
        <w:t>十四五”</w:t>
      </w:r>
      <w:r>
        <w:rPr>
          <w:rFonts w:hint="eastAsia" w:ascii="Times New Roman" w:hAnsi="Times New Roman" w:eastAsia="仿宋" w:cs="Times New Roman"/>
          <w:color w:val="auto"/>
          <w:sz w:val="32"/>
          <w:szCs w:val="28"/>
          <w:highlight w:val="none"/>
          <w:lang w:eastAsia="zh-CN"/>
        </w:rPr>
        <w:t>国土空间生态修复规划（报批稿）》</w:t>
      </w:r>
      <w:r>
        <w:rPr>
          <w:rFonts w:hint="eastAsia" w:ascii="Times New Roman" w:hAnsi="Times New Roman" w:eastAsia="仿宋" w:cs="Times New Roman"/>
          <w:color w:val="auto"/>
          <w:sz w:val="32"/>
          <w:szCs w:val="28"/>
          <w:highlight w:val="none"/>
          <w:lang w:val="en-US" w:eastAsia="zh-CN"/>
        </w:rPr>
        <w:t>。</w:t>
      </w:r>
    </w:p>
    <w:p w14:paraId="1A1B0A9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14:paraId="1E52038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14:paraId="2210A25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14:paraId="32DD218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sectPr>
          <w:pgSz w:w="11906" w:h="16838"/>
          <w:pgMar w:top="1440" w:right="1800" w:bottom="1440" w:left="1800" w:header="851" w:footer="992" w:gutter="0"/>
          <w:cols w:space="0" w:num="1"/>
          <w:rtlGutter w:val="0"/>
          <w:docGrid w:linePitch="312" w:charSpace="0"/>
        </w:sectPr>
      </w:pPr>
    </w:p>
    <w:p w14:paraId="32505EFB">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16" w:name="_Toc5282"/>
      <w:r>
        <w:rPr>
          <w:rFonts w:hint="eastAsia"/>
          <w:b/>
          <w:bCs/>
          <w:color w:val="auto"/>
          <w:sz w:val="36"/>
          <w:szCs w:val="36"/>
          <w:highlight w:val="none"/>
          <w:lang w:val="en-US" w:eastAsia="zh-CN"/>
        </w:rPr>
        <w:t>三、规划基础数据</w:t>
      </w:r>
      <w:bookmarkEnd w:id="16"/>
    </w:p>
    <w:p w14:paraId="22C1E3E5">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7" w:name="_Toc1129"/>
      <w:r>
        <w:rPr>
          <w:rFonts w:hint="eastAsia" w:ascii="Times New Roman" w:hAnsi="Times New Roman" w:eastAsia="仿宋" w:cs="Times New Roman"/>
          <w:b/>
          <w:bCs/>
          <w:color w:val="auto"/>
          <w:sz w:val="32"/>
          <w:szCs w:val="32"/>
          <w:highlight w:val="none"/>
          <w:lang w:val="en-US" w:eastAsia="zh-CN"/>
        </w:rPr>
        <w:t>（一）基础数据、来源及用途说明</w:t>
      </w:r>
      <w:bookmarkEnd w:id="17"/>
    </w:p>
    <w:p w14:paraId="233AF5E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为如实反映全市国土空间生态现状、生态修复成效以及生态问题，合理布局全市国土空间生态修复分区、重点任务和重大工程，规划需收集全市基础地形地貌数据、自然条件数据、生态环境现状数据、土地利用底图底数数据、经济社会状况数据以及农业、林业、水利、住建行业规划、调查成果数据。</w:t>
      </w:r>
    </w:p>
    <w:p w14:paraId="371E348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根据《自然资源部办公厅关于开展省级国土空间生态修复规划编制工作的通知》（自然资办发</w:t>
      </w:r>
      <w:r>
        <w:rPr>
          <w:rFonts w:hint="eastAsia" w:ascii="Times New Roman" w:hAnsi="Times New Roman" w:eastAsia="仿宋_GB2312" w:cs="Times New Roman"/>
          <w:color w:val="auto"/>
          <w:sz w:val="32"/>
          <w:szCs w:val="28"/>
          <w:highlight w:val="none"/>
        </w:rPr>
        <w:t>〔202</w:t>
      </w:r>
      <w:r>
        <w:rPr>
          <w:rFonts w:hint="eastAsia" w:ascii="Times New Roman" w:hAnsi="Times New Roman" w:eastAsia="仿宋_GB2312" w:cs="Times New Roman"/>
          <w:color w:val="auto"/>
          <w:sz w:val="32"/>
          <w:szCs w:val="28"/>
          <w:highlight w:val="none"/>
          <w:lang w:val="en-US" w:eastAsia="zh-CN"/>
        </w:rPr>
        <w:t>0</w:t>
      </w:r>
      <w:r>
        <w:rPr>
          <w:rFonts w:hint="eastAsia" w:ascii="Times New Roman" w:hAnsi="Times New Roman" w:eastAsia="仿宋_GB2312" w:cs="Times New Roman"/>
          <w:color w:val="auto"/>
          <w:sz w:val="32"/>
          <w:szCs w:val="28"/>
          <w:highlight w:val="none"/>
        </w:rPr>
        <w:t>〕</w:t>
      </w:r>
      <w:r>
        <w:rPr>
          <w:rFonts w:hint="eastAsia" w:ascii="Times New Roman" w:hAnsi="Times New Roman" w:eastAsia="仿宋" w:cs="Times New Roman"/>
          <w:color w:val="auto"/>
          <w:sz w:val="32"/>
          <w:szCs w:val="28"/>
          <w:highlight w:val="none"/>
          <w:lang w:val="en-US" w:eastAsia="zh-CN"/>
        </w:rPr>
        <w:t>45号）文件精神和《江西省自然资源厅办公室关于开展市县国土空间生态修复规划编制工作的通知》（赣自然资办发</w:t>
      </w:r>
      <w:r>
        <w:rPr>
          <w:rFonts w:hint="eastAsia" w:ascii="Times New Roman" w:hAnsi="Times New Roman" w:eastAsia="仿宋_GB2312" w:cs="Times New Roman"/>
          <w:color w:val="auto"/>
          <w:sz w:val="32"/>
          <w:szCs w:val="28"/>
          <w:highlight w:val="none"/>
        </w:rPr>
        <w:t>〔2021〕</w:t>
      </w:r>
      <w:r>
        <w:rPr>
          <w:rFonts w:hint="eastAsia" w:ascii="Times New Roman" w:hAnsi="Times New Roman" w:eastAsia="仿宋" w:cs="Times New Roman"/>
          <w:color w:val="auto"/>
          <w:sz w:val="32"/>
          <w:szCs w:val="28"/>
          <w:highlight w:val="none"/>
          <w:lang w:val="en-US" w:eastAsia="zh-CN"/>
        </w:rPr>
        <w:t>67号）的要求，规划编制过程中采用了全国第三次国土调查数据作为规划现状底数和底图基础，并以2020年赣州市国土空间规划的成果数据-资源环境承载力和国土空间开发适宜性评价，作为生态状况评价的本底数据，同时以其他行业和部门调查监测成果数据作为补充的规划编制数据收集思路，收集整理了本次规划所需数据。</w:t>
      </w:r>
    </w:p>
    <w:p w14:paraId="56EC371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全部数据最后以2000国家大地坐标系和1985国家高程基准作为空间定位基础。</w:t>
      </w:r>
    </w:p>
    <w:p w14:paraId="5DDFAE36">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1. 自然地理基础数据 </w:t>
      </w:r>
    </w:p>
    <w:p w14:paraId="292D12FB">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（1）基础地形地貌数据。</w:t>
      </w:r>
      <w:r>
        <w:rPr>
          <w:rFonts w:hint="eastAsia" w:ascii="Times New Roman" w:hAnsi="Times New Roman" w:eastAsia="仿宋" w:cs="Times New Roman"/>
          <w:color w:val="auto"/>
          <w:sz w:val="32"/>
          <w:szCs w:val="28"/>
          <w:highlight w:val="none"/>
          <w:lang w:val="en-US" w:eastAsia="zh-CN"/>
        </w:rPr>
        <w:t>主要包括全市30m分辨率地形地貌数据，来源于DEM_ASTER_GDEM V1数据，该DEM（数字高程模型）数据主要由 NASA（美国航天航空局）新一代对地观测卫星Terra 观测数据制作，其主要用于规划中地形地貌的分析、自然地理格局的底图制作等需求。</w:t>
      </w:r>
    </w:p>
    <w:p w14:paraId="69345141">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（2）自然资源调查监测数据。</w:t>
      </w:r>
      <w:r>
        <w:rPr>
          <w:rFonts w:hint="eastAsia" w:ascii="Times New Roman" w:hAnsi="Times New Roman" w:eastAsia="仿宋" w:cs="Times New Roman"/>
          <w:b w:val="0"/>
          <w:bCs w:val="0"/>
          <w:color w:val="auto"/>
          <w:sz w:val="32"/>
          <w:szCs w:val="28"/>
          <w:highlight w:val="none"/>
          <w:lang w:val="en-US" w:eastAsia="zh-CN"/>
        </w:rPr>
        <w:t>数据来源于</w:t>
      </w:r>
      <w:r>
        <w:rPr>
          <w:rFonts w:hint="eastAsia" w:ascii="Times New Roman" w:hAnsi="Times New Roman" w:eastAsia="仿宋" w:cs="Times New Roman"/>
          <w:color w:val="auto"/>
          <w:sz w:val="32"/>
          <w:szCs w:val="28"/>
          <w:highlight w:val="none"/>
          <w:lang w:val="en-US" w:eastAsia="zh-CN"/>
        </w:rPr>
        <w:t>龙南市自然资源局，主要包括：①第三次全国国土调查成果及年度变更数据；②地理国情监测数据（包括地表覆盖数据和地理国情要素）。以上数据主要用来提取全市生态要素本底数据以及作为底图数据。</w:t>
      </w:r>
    </w:p>
    <w:p w14:paraId="5FF48137">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（3）全市行政边界、水系、交通等数据。</w:t>
      </w:r>
      <w:r>
        <w:rPr>
          <w:rFonts w:hint="eastAsia" w:ascii="Times New Roman" w:hAnsi="Times New Roman" w:eastAsia="仿宋" w:cs="Times New Roman"/>
          <w:color w:val="auto"/>
          <w:sz w:val="32"/>
          <w:szCs w:val="28"/>
          <w:highlight w:val="none"/>
          <w:lang w:val="en-US" w:eastAsia="zh-CN"/>
        </w:rPr>
        <w:t>主要包括全市乡镇界线、主要河流水系、主要交通干线等数据，来源于原江西省测绘地理信息局，主要用于规划中自然地理格局分析以及分区的制定，并作为规划制图底图数据。</w:t>
      </w:r>
    </w:p>
    <w:p w14:paraId="240EE134">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（4）遥感数据。</w:t>
      </w:r>
      <w:r>
        <w:rPr>
          <w:rFonts w:hint="eastAsia" w:ascii="Times New Roman" w:hAnsi="Times New Roman" w:eastAsia="仿宋" w:cs="Times New Roman"/>
          <w:color w:val="auto"/>
          <w:sz w:val="32"/>
          <w:szCs w:val="28"/>
          <w:highlight w:val="none"/>
          <w:lang w:val="en-US" w:eastAsia="zh-CN"/>
        </w:rPr>
        <w:t>遥感影像来源于自然资源部门，主要用于规划中水土保持、水源涵养、不透水层计算等。</w:t>
      </w:r>
    </w:p>
    <w:p w14:paraId="01A9126D">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生态环境分析评价基础数据</w:t>
      </w:r>
    </w:p>
    <w:p w14:paraId="21743307">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（1）生态功能分区评价数据。</w:t>
      </w:r>
      <w:r>
        <w:rPr>
          <w:rFonts w:hint="eastAsia" w:ascii="Times New Roman" w:hAnsi="Times New Roman" w:eastAsia="仿宋" w:cs="Times New Roman"/>
          <w:color w:val="auto"/>
          <w:sz w:val="32"/>
          <w:szCs w:val="28"/>
          <w:highlight w:val="none"/>
          <w:lang w:val="en-US" w:eastAsia="zh-CN"/>
        </w:rPr>
        <w:t>主要包括2020年赣州市国土空间规划成果中资源环境承载力部分的成果数据，涉及到其中的生态保护重要性、生态服务功能重要性、生物多样性重要性、水土保持重要性和水源涵养重要性、水土流失敏感性等评价结果数据，数据来源于龙南市自然资源局，主要用于规划中生态环境现状以及生态问题的分析评价，同时作为生态修复分区参考依据，以及成果制图。</w:t>
      </w:r>
    </w:p>
    <w:p w14:paraId="72779593">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（2）国土空间开发适宜性评价数据。</w:t>
      </w:r>
      <w:r>
        <w:rPr>
          <w:rFonts w:hint="eastAsia" w:ascii="Times New Roman" w:hAnsi="Times New Roman" w:eastAsia="仿宋" w:cs="Times New Roman"/>
          <w:color w:val="auto"/>
          <w:sz w:val="32"/>
          <w:szCs w:val="28"/>
          <w:highlight w:val="none"/>
          <w:lang w:val="en-US" w:eastAsia="zh-CN"/>
        </w:rPr>
        <w:t>主要包括农业生产适宜性评价和城镇建设适宜性评价数据，来源于龙南市自然资源局，主要用于规划中农业空间和城镇空间生态问题、分区的分析评价，同时服务于规划制图。</w:t>
      </w:r>
    </w:p>
    <w:p w14:paraId="3CE49CFF">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（3）全市生态红线、城镇开发边界、永久基本农田边界划定数据以及自然保护地分布数据。</w:t>
      </w:r>
      <w:r>
        <w:rPr>
          <w:rFonts w:hint="eastAsia" w:ascii="Times New Roman" w:hAnsi="Times New Roman" w:eastAsia="仿宋" w:cs="Times New Roman"/>
          <w:color w:val="auto"/>
          <w:sz w:val="32"/>
          <w:szCs w:val="28"/>
          <w:highlight w:val="none"/>
          <w:lang w:val="en-US" w:eastAsia="zh-CN"/>
        </w:rPr>
        <w:t>优化调整后的全市生态红线、城镇开发边界、永久基本农田边界数据，来源于龙南市自然资源局，最新的自然保护地分布数据，来源于龙南市林业局。生态红线、城镇开发边界、永久基本农田边界数据主要用于规划中明确生态修复的三类空间（生态、农业、城镇空间）的边界范围以及主攻方向。</w:t>
      </w:r>
    </w:p>
    <w:p w14:paraId="6B201D2A">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b/>
          <w:bCs/>
          <w:color w:val="auto"/>
          <w:sz w:val="32"/>
          <w:szCs w:val="28"/>
          <w:highlight w:val="none"/>
          <w:lang w:val="en-US" w:eastAsia="zh-CN"/>
        </w:rPr>
        <w:t>（4）矿山生态环境分析评价数据。</w:t>
      </w:r>
      <w:r>
        <w:rPr>
          <w:rFonts w:hint="eastAsia" w:ascii="Times New Roman" w:hAnsi="Times New Roman" w:eastAsia="仿宋" w:cs="Times New Roman"/>
          <w:color w:val="auto"/>
          <w:sz w:val="32"/>
          <w:szCs w:val="28"/>
          <w:highlight w:val="none"/>
          <w:lang w:val="en-US" w:eastAsia="zh-CN"/>
        </w:rPr>
        <w:t>主要包括截止到2020年12月31日的龙南市历史遗留废弃矿山生态环境现状数据和评价结果及数据，来源于龙南市自然资源局，主要用于规划中矿山生态环境的分析以及制图。</w:t>
      </w:r>
    </w:p>
    <w:p w14:paraId="23CC7BE5">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经济社会数据</w:t>
      </w:r>
    </w:p>
    <w:p w14:paraId="7728A92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主要包括规划基准年2020年龙南市人口、经济、农业、城镇统计数据，数据来源于《龙南市2020年国民经济和社会发展统计公报》和《龙南市第七次全国人口普查公报》，主要用于规划中的数据分析。</w:t>
      </w:r>
    </w:p>
    <w:p w14:paraId="5DF15DF1">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相关规划成果数据</w:t>
      </w:r>
    </w:p>
    <w:p w14:paraId="0F223C4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主要包括如下：</w:t>
      </w:r>
    </w:p>
    <w:p w14:paraId="4D16B29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《全国重要生态系统保护和修复重大工程总体规划（2021</w:t>
      </w:r>
      <w:r>
        <w:rPr>
          <w:rFonts w:hint="eastAsia" w:ascii="Times New Roman" w:hAnsi="Times New Roman" w:eastAsia="仿宋" w:cs="Times New Roman"/>
          <w:color w:val="auto"/>
          <w:sz w:val="32"/>
          <w:szCs w:val="28"/>
          <w:highlight w:val="none"/>
          <w:lang w:val="en-US" w:eastAsia="zh-CN"/>
        </w:rPr>
        <w:t>-</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p>
    <w:p w14:paraId="4749629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（2）《国家“十四五”林业草原保护发展规划纲要》；</w:t>
      </w:r>
    </w:p>
    <w:p w14:paraId="204B71E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（3）《全国生态功能区划（修编版）》；</w:t>
      </w:r>
    </w:p>
    <w:p w14:paraId="68A90A6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（4）《南方丘陵山地带生态保护和修复重大工程建设规划（2021-2035）》；</w:t>
      </w:r>
    </w:p>
    <w:p w14:paraId="4C6EE80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（5）《江西省主体功能区规划》；</w:t>
      </w:r>
    </w:p>
    <w:p w14:paraId="1D3B072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6</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《江西省“十四五”国土空间生态修复规划》；</w:t>
      </w:r>
    </w:p>
    <w:p w14:paraId="28D2D58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val="en-US" w:eastAsia="zh-CN"/>
        </w:rPr>
        <w:t>（7</w:t>
      </w: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rPr>
        <w:t>《赣州市国土空间总体规划（202</w:t>
      </w:r>
      <w:r>
        <w:rPr>
          <w:rFonts w:hint="eastAsia" w:ascii="Times New Roman" w:hAnsi="Times New Roman" w:eastAsia="仿宋" w:cs="Times New Roman"/>
          <w:color w:val="auto"/>
          <w:sz w:val="32"/>
          <w:szCs w:val="28"/>
          <w:highlight w:val="none"/>
          <w:lang w:val="en-US" w:eastAsia="zh-CN"/>
        </w:rPr>
        <w:t>1</w:t>
      </w:r>
      <w:r>
        <w:rPr>
          <w:rFonts w:hint="eastAsia" w:ascii="Times New Roman" w:hAnsi="Times New Roman" w:eastAsia="仿宋" w:cs="Times New Roman"/>
          <w:color w:val="auto"/>
          <w:sz w:val="32"/>
          <w:szCs w:val="28"/>
          <w:highlight w:val="none"/>
        </w:rPr>
        <w:t>-2035）》</w:t>
      </w:r>
      <w:r>
        <w:rPr>
          <w:rFonts w:hint="eastAsia" w:ascii="Times New Roman" w:hAnsi="Times New Roman" w:eastAsia="仿宋" w:cs="Times New Roman"/>
          <w:color w:val="auto"/>
          <w:sz w:val="32"/>
          <w:szCs w:val="28"/>
          <w:highlight w:val="none"/>
          <w:lang w:eastAsia="zh-CN"/>
        </w:rPr>
        <w:t>；</w:t>
      </w:r>
    </w:p>
    <w:p w14:paraId="7F6DE0C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（8）《赣州市“十四五”国土空间生态修复规划》</w:t>
      </w:r>
      <w:r>
        <w:rPr>
          <w:rFonts w:hint="eastAsia" w:ascii="Times New Roman" w:hAnsi="Times New Roman" w:eastAsia="仿宋" w:cs="Times New Roman"/>
          <w:color w:val="auto"/>
          <w:sz w:val="32"/>
          <w:szCs w:val="28"/>
          <w:highlight w:val="none"/>
        </w:rPr>
        <w:t>；</w:t>
      </w:r>
    </w:p>
    <w:p w14:paraId="3930727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9）《赣州市城市总体规划（2017-2035）》；</w:t>
      </w:r>
    </w:p>
    <w:p w14:paraId="5620535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10）《赣州市矿山生态修复三年行动方案》；</w:t>
      </w:r>
    </w:p>
    <w:p w14:paraId="759BDD4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11）《赣州市矿产资源总体规划（2021-2025）》；</w:t>
      </w:r>
    </w:p>
    <w:p w14:paraId="40A7401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12）</w:t>
      </w:r>
      <w:r>
        <w:rPr>
          <w:rFonts w:hint="eastAsia" w:ascii="Times New Roman" w:hAnsi="Times New Roman" w:eastAsia="仿宋_GB2312" w:cs="Times New Roman"/>
          <w:color w:val="auto"/>
          <w:sz w:val="32"/>
          <w:szCs w:val="28"/>
          <w:highlight w:val="none"/>
          <w:lang w:val="en-US" w:eastAsia="zh-CN"/>
        </w:rPr>
        <w:t>《龙南市国民经济和社会发展第十四个五年规划和二〇三五年远景目标纲要》；</w:t>
      </w:r>
    </w:p>
    <w:p w14:paraId="2202A9E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（13）《龙南县“十三五”总体规划》；</w:t>
      </w:r>
    </w:p>
    <w:p w14:paraId="7840336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（14）《江西省龙南县城市总体规划（2011-2030）》；</w:t>
      </w:r>
    </w:p>
    <w:p w14:paraId="41FA8E9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（15）《龙南县城市生物多样性保护规划（2013-2030年）》；</w:t>
      </w:r>
    </w:p>
    <w:p w14:paraId="4082A25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16）</w:t>
      </w:r>
      <w:r>
        <w:rPr>
          <w:rFonts w:hint="eastAsia" w:ascii="Times New Roman" w:hAnsi="Times New Roman" w:eastAsia="仿宋" w:cs="Times New Roman"/>
          <w:color w:val="auto"/>
          <w:kern w:val="2"/>
          <w:sz w:val="32"/>
          <w:szCs w:val="28"/>
          <w:highlight w:val="none"/>
          <w:lang w:val="en-US" w:eastAsia="zh-CN"/>
        </w:rPr>
        <w:t>《龙南市矿山生态修复三年行动方案》；</w:t>
      </w:r>
    </w:p>
    <w:p w14:paraId="19EA4CA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（17）《龙南市“十四五”水利发展规划报告》；</w:t>
      </w:r>
    </w:p>
    <w:p w14:paraId="1E0DD74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（18）《龙南市“十四五”林业发展规划》；</w:t>
      </w:r>
    </w:p>
    <w:p w14:paraId="707EE03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（19）《龙南市“十四五”时期现代农业发展规划》；</w:t>
      </w:r>
    </w:p>
    <w:p w14:paraId="7D8F18A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（20）《龙南“十四五”时期统筹城乡发展规划》；</w:t>
      </w:r>
    </w:p>
    <w:p w14:paraId="14F5D04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21）</w:t>
      </w:r>
      <w:r>
        <w:rPr>
          <w:rFonts w:hint="eastAsia" w:ascii="Times New Roman" w:hAnsi="Times New Roman" w:eastAsia="仿宋" w:cs="Times New Roman"/>
          <w:color w:val="auto"/>
          <w:kern w:val="2"/>
          <w:sz w:val="32"/>
          <w:szCs w:val="28"/>
          <w:highlight w:val="none"/>
          <w:lang w:val="en-US" w:eastAsia="zh-CN"/>
        </w:rPr>
        <w:t>《龙南市矿产资源总体规划（2021-2025年）》；</w:t>
      </w:r>
    </w:p>
    <w:p w14:paraId="25E5120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22）《龙南市“十四五”生态环境保护规划》；</w:t>
      </w:r>
    </w:p>
    <w:p w14:paraId="0970B54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（23）《龙南市城市生态评估与修复规划》；</w:t>
      </w:r>
    </w:p>
    <w:p w14:paraId="65B310D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24）</w:t>
      </w:r>
      <w:r>
        <w:rPr>
          <w:rFonts w:hint="eastAsia" w:ascii="Times New Roman" w:hAnsi="Times New Roman" w:eastAsia="仿宋" w:cs="Times New Roman"/>
          <w:color w:val="auto"/>
          <w:sz w:val="32"/>
          <w:szCs w:val="28"/>
          <w:highlight w:val="none"/>
          <w:lang w:eastAsia="zh-CN"/>
        </w:rPr>
        <w:t>《龙南市“十四五” 时期交通运输发展规划》；</w:t>
      </w:r>
    </w:p>
    <w:p w14:paraId="780228B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eastAsia="zh-CN"/>
        </w:rPr>
      </w:pPr>
      <w:r>
        <w:rPr>
          <w:rFonts w:hint="eastAsia" w:ascii="Times New Roman" w:hAnsi="Times New Roman" w:eastAsia="仿宋" w:cs="Times New Roman"/>
          <w:color w:val="auto"/>
          <w:sz w:val="32"/>
          <w:szCs w:val="28"/>
          <w:highlight w:val="none"/>
          <w:lang w:eastAsia="zh-CN"/>
        </w:rPr>
        <w:t>（</w:t>
      </w:r>
      <w:r>
        <w:rPr>
          <w:rFonts w:hint="eastAsia" w:ascii="Times New Roman" w:hAnsi="Times New Roman" w:eastAsia="仿宋" w:cs="Times New Roman"/>
          <w:color w:val="auto"/>
          <w:sz w:val="32"/>
          <w:szCs w:val="28"/>
          <w:highlight w:val="none"/>
          <w:lang w:val="en-US" w:eastAsia="zh-CN"/>
        </w:rPr>
        <w:t>25</w:t>
      </w:r>
      <w:r>
        <w:rPr>
          <w:rFonts w:hint="eastAsia" w:ascii="Times New Roman" w:hAnsi="Times New Roman" w:eastAsia="仿宋" w:cs="Times New Roman"/>
          <w:color w:val="auto"/>
          <w:sz w:val="32"/>
          <w:szCs w:val="28"/>
          <w:highlight w:val="none"/>
          <w:lang w:eastAsia="zh-CN"/>
        </w:rPr>
        <w:t>）《龙南市“十四五”文化和旅游发展规划》；</w:t>
      </w:r>
    </w:p>
    <w:p w14:paraId="28C3BB04">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5. 文献资料数据 </w:t>
      </w:r>
    </w:p>
    <w:p w14:paraId="3076E0E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主要包括《江西省水土保持公报》、《江西省水资源公报》、《</w:t>
      </w:r>
      <w:r>
        <w:rPr>
          <w:rFonts w:hint="eastAsia" w:ascii="Times New Roman" w:hAnsi="Times New Roman" w:eastAsia="仿宋" w:cs="Times New Roman"/>
          <w:color w:val="auto"/>
          <w:sz w:val="32"/>
          <w:szCs w:val="28"/>
          <w:highlight w:val="none"/>
          <w:lang w:eastAsia="zh-CN"/>
        </w:rPr>
        <w:t>赣州市资源环境承载能力和国土空间开发适宜性评价报告》、</w:t>
      </w:r>
      <w:r>
        <w:rPr>
          <w:rFonts w:hint="eastAsia" w:ascii="Times New Roman" w:hAnsi="Times New Roman" w:eastAsia="仿宋" w:cs="Times New Roman"/>
          <w:color w:val="auto"/>
          <w:sz w:val="32"/>
          <w:szCs w:val="28"/>
          <w:highlight w:val="none"/>
          <w:lang w:val="en-US" w:eastAsia="zh-CN"/>
        </w:rPr>
        <w:t>《赣州市国土空间生态保护修复专题研究报告》、</w:t>
      </w:r>
      <w:r>
        <w:rPr>
          <w:rFonts w:hint="eastAsia" w:ascii="Times New Roman" w:hAnsi="Times New Roman" w:eastAsia="仿宋" w:cs="Times New Roman"/>
          <w:color w:val="auto"/>
          <w:sz w:val="32"/>
          <w:szCs w:val="28"/>
          <w:highlight w:val="none"/>
          <w:lang w:eastAsia="zh-CN"/>
        </w:rPr>
        <w:t>《2021年龙南市政府工作报告》、《龙南市2020年第七次全国人口普查主要数据公报》</w:t>
      </w:r>
      <w:r>
        <w:rPr>
          <w:rFonts w:hint="eastAsia" w:ascii="Times New Roman" w:hAnsi="Times New Roman" w:eastAsia="仿宋" w:cs="Times New Roman"/>
          <w:color w:val="auto"/>
          <w:sz w:val="32"/>
          <w:szCs w:val="28"/>
          <w:highlight w:val="none"/>
          <w:lang w:val="en-US" w:eastAsia="zh-CN"/>
        </w:rPr>
        <w:t>、《龙南市2020年国民经济和社会发展统计公报》以及龙南市气象局提供的近30年气象数据等文献资料数据。</w:t>
      </w:r>
    </w:p>
    <w:p w14:paraId="3583E229">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18" w:name="_Toc1494"/>
      <w:bookmarkStart w:id="19" w:name="_Toc74146670"/>
      <w:bookmarkStart w:id="20" w:name="_Toc22050"/>
      <w:r>
        <w:rPr>
          <w:rFonts w:hint="eastAsia" w:ascii="Times New Roman" w:hAnsi="Times New Roman" w:eastAsia="仿宋" w:cs="Times New Roman"/>
          <w:b/>
          <w:bCs/>
          <w:color w:val="auto"/>
          <w:sz w:val="32"/>
          <w:szCs w:val="32"/>
          <w:highlight w:val="none"/>
          <w:lang w:val="en-US" w:eastAsia="zh-CN"/>
        </w:rPr>
        <w:t>（二）基础图件编制</w:t>
      </w:r>
      <w:bookmarkEnd w:id="18"/>
      <w:bookmarkEnd w:id="19"/>
      <w:r>
        <w:rPr>
          <w:rFonts w:hint="eastAsia" w:ascii="Times New Roman" w:hAnsi="Times New Roman" w:eastAsia="仿宋" w:cs="Times New Roman"/>
          <w:b/>
          <w:bCs/>
          <w:color w:val="auto"/>
          <w:sz w:val="32"/>
          <w:szCs w:val="32"/>
          <w:highlight w:val="none"/>
          <w:lang w:val="en-US" w:eastAsia="zh-CN"/>
        </w:rPr>
        <w:t>说明</w:t>
      </w:r>
      <w:bookmarkEnd w:id="20"/>
    </w:p>
    <w:p w14:paraId="03BF3506">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1. 全市生态修复总体布局及生态修复分区图 </w:t>
      </w:r>
    </w:p>
    <w:p w14:paraId="165D32F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全市生态修复总体布局及生态修复分区图 ，按照自然资源厅的要求，在《赣州市国土空间规划（2020-2035年）》确定的“四屏、三区、三源、多廊”的生态安全格局和《赣州市“十四五”国土空间生态修复规划》中“一带、三屏、三源、多组团”总体格局的基础上</w:t>
      </w:r>
      <w:bookmarkStart w:id="21" w:name="第一"/>
      <w:bookmarkEnd w:id="21"/>
      <w:r>
        <w:rPr>
          <w:rFonts w:hint="eastAsia" w:ascii="Times New Roman" w:hAnsi="Times New Roman" w:eastAsia="仿宋" w:cs="Times New Roman"/>
          <w:color w:val="auto"/>
          <w:sz w:val="32"/>
          <w:szCs w:val="28"/>
          <w:highlight w:val="none"/>
          <w:lang w:val="en-US" w:eastAsia="zh-CN"/>
        </w:rPr>
        <w:t>，根据全市生态红线、永久基本农田边界、城镇空间开发边界以及国土空间用途管制要求，突出自然地理和生态系统的完整性、连通性，以全市桃江、渥江、濂江流域为基础单元，并参考全市乡镇、村边界，初步划分生态修复分区。在初步划定修复分区的基础上，综合考虑资源承载力评价和国土空间适宜性评价结果，叠加生态系统生态保护重要性、生态胁迫性程度、生态服务功能重要性、生物多样性重要性、水土保持重要性、水源涵养重要性、水土流失敏感性、农业适宜性评价、城镇适宜性评价等评价结果数据，按行政村合理调整分区边界，并结合社会经济、矿山分布、自然保护地等情况，最后将全市生态修复布局确定为“</w:t>
      </w:r>
      <w:r>
        <w:rPr>
          <w:rFonts w:hint="eastAsia" w:ascii="Times New Roman" w:hAnsi="Times New Roman" w:eastAsia="仿宋" w:cs="Times New Roman"/>
          <w:b/>
          <w:bCs/>
          <w:color w:val="auto"/>
          <w:sz w:val="32"/>
          <w:szCs w:val="28"/>
          <w:highlight w:val="none"/>
          <w:lang w:val="en-US" w:eastAsia="zh-CN"/>
        </w:rPr>
        <w:t>一屏、三网、三区</w:t>
      </w:r>
      <w:r>
        <w:rPr>
          <w:rFonts w:hint="eastAsia" w:ascii="Times New Roman" w:hAnsi="Times New Roman" w:eastAsia="仿宋" w:cs="Times New Roman"/>
          <w:color w:val="auto"/>
          <w:sz w:val="32"/>
          <w:szCs w:val="28"/>
          <w:highlight w:val="none"/>
          <w:lang w:val="en-US" w:eastAsia="zh-CN"/>
        </w:rPr>
        <w:t>”。赣州生态修复分为北部濂江流域水土保持与城市工矿生态修复区、中部桃江、渥江流域矿山与农田生态修复区、南部山地丘陵水源涵养与生物多样性生态修复区3类生态修复区域。</w:t>
      </w:r>
    </w:p>
    <w:p w14:paraId="7930F2E7">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2. 重点工程分布图 </w:t>
      </w:r>
    </w:p>
    <w:p w14:paraId="65F73AB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重点工程布局图以矿山生态环境综合治理与农田生态提质工程、水土保持综合治理工程、亚热带森林质量提升及生物多样性保护生态廊道建设工程等3项重大工程，6项子工程的布局区域和类型为重点编制内容，主要用来描述规划期间全市重大工程布局。</w:t>
      </w:r>
    </w:p>
    <w:p w14:paraId="17BD2D89">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 xml:space="preserve">3. 自然和生态环境评估成果图 </w:t>
      </w:r>
    </w:p>
    <w:p w14:paraId="6A5DC61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自然和生态环境评估图用以描述龙南市自然条件、生态环境状况和生态评价分析成果，涉及到植被类型、土壤类型、自然保护地分布、耕地分布、土地利用、农业生产和城镇建设适宜性评价、土壤保持、土壤侵蚀、生态保护重要性、生态服务功能重要性、生物多样性保护重要性、水土保持重要性和水源涵养重要性、水土流失敏感性等成果图件，该成果图件主要作为分析全市生态状况、生态修复分区布局和重大工程布局底图。</w:t>
      </w:r>
    </w:p>
    <w:p w14:paraId="2CB7D9B0">
      <w:pPr>
        <w:pStyle w:val="2"/>
        <w:keepNext w:val="0"/>
        <w:keepLines w:val="0"/>
        <w:pageBreakBefore w:val="0"/>
        <w:widowControl w:val="0"/>
        <w:shd w:val="clear"/>
        <w:kinsoku/>
        <w:wordWrap/>
        <w:overflowPunct/>
        <w:topLinePunct w:val="0"/>
        <w:autoSpaceDE/>
        <w:autoSpaceDN/>
        <w:bidi w:val="0"/>
        <w:adjustRightInd w:val="0"/>
        <w:snapToGrid w:val="0"/>
        <w:spacing w:line="240" w:lineRule="atLeast"/>
        <w:ind w:firstLine="0"/>
        <w:textAlignment w:val="auto"/>
        <w:rPr>
          <w:rFonts w:hint="eastAsia" w:asciiTheme="minorEastAsia" w:hAnsiTheme="minorEastAsia" w:eastAsiaTheme="minorEastAsia" w:cstheme="minorEastAsia"/>
          <w:color w:val="auto"/>
          <w:sz w:val="21"/>
          <w:szCs w:val="21"/>
          <w:highlight w:val="none"/>
          <w:lang w:val="en-US" w:eastAsia="zh-CN"/>
        </w:rPr>
      </w:pPr>
    </w:p>
    <w:p w14:paraId="29AF71C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14:paraId="37CFAFD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pPr>
    </w:p>
    <w:p w14:paraId="6D120D3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sz w:val="32"/>
          <w:szCs w:val="28"/>
          <w:highlight w:val="none"/>
          <w:lang w:val="en-US" w:eastAsia="zh-CN"/>
        </w:rPr>
        <w:sectPr>
          <w:pgSz w:w="11906" w:h="16838"/>
          <w:pgMar w:top="1440" w:right="1800" w:bottom="1440" w:left="1800" w:header="851" w:footer="992" w:gutter="0"/>
          <w:cols w:space="0" w:num="1"/>
          <w:rtlGutter w:val="0"/>
          <w:docGrid w:linePitch="312" w:charSpace="0"/>
        </w:sectPr>
      </w:pPr>
    </w:p>
    <w:p w14:paraId="3F8B94DB">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22" w:name="_Toc31100_WPSOffice_Level2"/>
      <w:bookmarkStart w:id="23" w:name="_Toc15103"/>
      <w:r>
        <w:rPr>
          <w:rFonts w:hint="eastAsia"/>
          <w:b/>
          <w:bCs/>
          <w:color w:val="auto"/>
          <w:sz w:val="36"/>
          <w:szCs w:val="36"/>
          <w:highlight w:val="none"/>
          <w:lang w:val="en-US" w:eastAsia="zh-CN"/>
        </w:rPr>
        <w:t>四、规划</w:t>
      </w:r>
      <w:bookmarkEnd w:id="22"/>
      <w:r>
        <w:rPr>
          <w:rFonts w:hint="eastAsia"/>
          <w:b/>
          <w:bCs/>
          <w:color w:val="auto"/>
          <w:sz w:val="36"/>
          <w:szCs w:val="36"/>
          <w:highlight w:val="none"/>
          <w:lang w:val="en-US" w:eastAsia="zh-CN"/>
        </w:rPr>
        <w:t>目标设置依据及指标说明</w:t>
      </w:r>
      <w:bookmarkEnd w:id="23"/>
    </w:p>
    <w:p w14:paraId="6FD17F05">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24" w:name="_Toc1729"/>
      <w:bookmarkStart w:id="25" w:name="_Toc31879_WPSOffice_Level2"/>
      <w:r>
        <w:rPr>
          <w:rFonts w:hint="eastAsia" w:ascii="Times New Roman" w:hAnsi="Times New Roman" w:eastAsia="仿宋" w:cs="Times New Roman"/>
          <w:b/>
          <w:bCs/>
          <w:color w:val="auto"/>
          <w:sz w:val="32"/>
          <w:szCs w:val="32"/>
          <w:highlight w:val="none"/>
          <w:lang w:val="en-US" w:eastAsia="zh-CN"/>
        </w:rPr>
        <w:t>（一）目标设置依据</w:t>
      </w:r>
      <w:bookmarkEnd w:id="24"/>
    </w:p>
    <w:p w14:paraId="35DC38D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规划目标是一定时期内对规划要达到目标的定性和定量描述，规划目标要考虑目标完成的科学性、准确性、合理性及与上级规划的衔接性，生态修复涉及到山、水、林、田、湖、草多个生态要素，涉及多个行业部门的业务，目标制定必须具有高度的概括性、协同性、综合性、可操作性。</w:t>
      </w:r>
    </w:p>
    <w:p w14:paraId="5077E81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为此，规划编制组一方面考虑了规划的衔接、贯彻落实省市级规划和其它上位规划目标，另一方面综合考虑了“十四五”期间龙南市要解决的主要生态问题、面临的机遇和挑战、各相关行业部门规划期间的工作安排，下好生态修复全市“一盘棋”，由此把“十四五”期间全市国土空间生态修复定性目标设置为“到2025年，全市自然生态系统功能持续提升，农田生态质量稳中加固，乡村人居环境显著改善，城市生态治理成效卓著，矿山生态环境质量稳步向好，基本实现“河畅水清、岸绿景美、人与自然和谐”的生态景观。其主要参考依据为《江西省“十四五”国土空间生态修复规划》、《赣州市国土空间生态保护修复专题研究报告》、《赣州市“十四五”国土空间生态修复规划》、《龙南市国民经济和社会发展第十四个五年规划和二〇三五年远景目标纲要》以及</w:t>
      </w:r>
      <w:bookmarkStart w:id="143" w:name="_GoBack"/>
      <w:bookmarkEnd w:id="143"/>
      <w:r>
        <w:rPr>
          <w:rFonts w:hint="eastAsia" w:ascii="Times New Roman" w:hAnsi="Times New Roman" w:eastAsia="仿宋" w:cs="Times New Roman"/>
          <w:color w:val="auto"/>
          <w:kern w:val="2"/>
          <w:sz w:val="32"/>
          <w:szCs w:val="28"/>
          <w:highlight w:val="none"/>
          <w:lang w:val="en-US" w:eastAsia="zh-CN"/>
        </w:rPr>
        <w:t>龙南市自然资源局、林业局、生态环境局、水利局、农业农村局、城市管理局等行业部门“十四五”发展规划。</w:t>
      </w:r>
    </w:p>
    <w:p w14:paraId="1B796225">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26" w:name="_Toc23324"/>
      <w:r>
        <w:rPr>
          <w:rFonts w:hint="eastAsia" w:ascii="Times New Roman" w:hAnsi="Times New Roman" w:eastAsia="仿宋" w:cs="Times New Roman"/>
          <w:b/>
          <w:bCs/>
          <w:color w:val="auto"/>
          <w:sz w:val="32"/>
          <w:szCs w:val="32"/>
          <w:highlight w:val="none"/>
          <w:lang w:val="en-US" w:eastAsia="zh-CN"/>
        </w:rPr>
        <w:t>（二）主要指标设置说明</w:t>
      </w:r>
      <w:bookmarkEnd w:id="26"/>
    </w:p>
    <w:p w14:paraId="610A3DBE">
      <w:pPr>
        <w:pStyle w:val="14"/>
        <w:keepNext w:val="0"/>
        <w:keepLines w:val="0"/>
        <w:pageBreakBefore w:val="0"/>
        <w:widowControl w:val="0"/>
        <w:shd w:val="clear"/>
        <w:kinsoku/>
        <w:wordWrap/>
        <w:overflowPunct/>
        <w:topLinePunct w:val="0"/>
        <w:autoSpaceDE/>
        <w:autoSpaceDN/>
        <w:bidi w:val="0"/>
        <w:adjustRightInd/>
        <w:snapToGrid/>
        <w:spacing w:before="157" w:beforeLines="50" w:after="0" w:line="240" w:lineRule="atLeast"/>
        <w:ind w:firstLine="480" w:firstLineChars="200"/>
        <w:jc w:val="left"/>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表1   龙南市“十四五”国土空间生态修复规划主要指标说明表</w:t>
      </w:r>
    </w:p>
    <w:tbl>
      <w:tblPr>
        <w:tblStyle w:val="15"/>
        <w:tblW w:w="8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467"/>
        <w:gridCol w:w="1316"/>
        <w:gridCol w:w="910"/>
        <w:gridCol w:w="809"/>
        <w:gridCol w:w="772"/>
        <w:gridCol w:w="4046"/>
      </w:tblGrid>
      <w:tr w14:paraId="584DC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blHeader/>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15EF3">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序号</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060E0">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指</w:t>
            </w:r>
            <w:r>
              <w:rPr>
                <w:rFonts w:hint="default" w:ascii="Times New Roman" w:hAnsi="Times New Roman" w:eastAsia="宋体" w:cs="Times New Roman"/>
                <w:b/>
                <w:i w:val="0"/>
                <w:color w:val="auto"/>
                <w:kern w:val="0"/>
                <w:sz w:val="18"/>
                <w:szCs w:val="18"/>
                <w:highlight w:val="none"/>
                <w:u w:val="none"/>
                <w:lang w:val="en-US" w:eastAsia="zh-CN" w:bidi="ar"/>
              </w:rPr>
              <w:t xml:space="preserve">  </w:t>
            </w:r>
            <w:r>
              <w:rPr>
                <w:rFonts w:hint="eastAsia" w:ascii="宋体" w:hAnsi="宋体" w:eastAsia="宋体" w:cs="宋体"/>
                <w:b/>
                <w:i w:val="0"/>
                <w:color w:val="auto"/>
                <w:kern w:val="0"/>
                <w:sz w:val="18"/>
                <w:szCs w:val="18"/>
                <w:highlight w:val="none"/>
                <w:u w:val="none"/>
                <w:lang w:val="en-US" w:eastAsia="zh-CN" w:bidi="ar"/>
              </w:rPr>
              <w:t>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451BB">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eastAsia="宋体" w:cs="宋体"/>
                <w:b/>
                <w:i w:val="0"/>
                <w:color w:val="auto"/>
                <w:kern w:val="0"/>
                <w:sz w:val="18"/>
                <w:szCs w:val="18"/>
                <w:highlight w:val="none"/>
                <w:u w:val="none"/>
                <w:lang w:val="en-US" w:eastAsia="zh-CN" w:bidi="ar"/>
              </w:rPr>
              <w:t>单位</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891E6">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default" w:ascii="Times New Roman" w:hAnsi="Times New Roman" w:eastAsia="宋体" w:cs="Times New Roman"/>
                <w:b/>
                <w:i w:val="0"/>
                <w:color w:val="auto"/>
                <w:kern w:val="0"/>
                <w:sz w:val="18"/>
                <w:szCs w:val="18"/>
                <w:highlight w:val="none"/>
                <w:u w:val="none"/>
                <w:lang w:val="en-US" w:eastAsia="zh-CN" w:bidi="ar"/>
              </w:rPr>
              <w:t>2020</w:t>
            </w:r>
            <w:r>
              <w:rPr>
                <w:rFonts w:hint="eastAsia" w:ascii="宋体" w:hAnsi="宋体" w:eastAsia="宋体" w:cs="宋体"/>
                <w:b/>
                <w:i w:val="0"/>
                <w:color w:val="auto"/>
                <w:kern w:val="0"/>
                <w:sz w:val="18"/>
                <w:szCs w:val="18"/>
                <w:highlight w:val="none"/>
                <w:u w:val="none"/>
                <w:lang w:val="en-US" w:eastAsia="zh-CN" w:bidi="ar"/>
              </w:rPr>
              <w:t>年基期值</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062E6">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default" w:ascii="Times New Roman" w:hAnsi="Times New Roman" w:eastAsia="宋体" w:cs="Times New Roman"/>
                <w:b/>
                <w:i w:val="0"/>
                <w:color w:val="auto"/>
                <w:kern w:val="0"/>
                <w:sz w:val="18"/>
                <w:szCs w:val="18"/>
                <w:highlight w:val="none"/>
                <w:u w:val="none"/>
                <w:lang w:val="en-US" w:eastAsia="zh-CN" w:bidi="ar"/>
              </w:rPr>
              <w:t>2025</w:t>
            </w:r>
            <w:r>
              <w:rPr>
                <w:rFonts w:hint="eastAsia" w:ascii="宋体" w:hAnsi="宋体" w:eastAsia="宋体" w:cs="宋体"/>
                <w:b/>
                <w:i w:val="0"/>
                <w:color w:val="auto"/>
                <w:kern w:val="0"/>
                <w:sz w:val="18"/>
                <w:szCs w:val="18"/>
                <w:highlight w:val="none"/>
                <w:u w:val="none"/>
                <w:lang w:val="en-US" w:eastAsia="zh-CN" w:bidi="ar"/>
              </w:rPr>
              <w:t>年目标值</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37721">
            <w:pPr>
              <w:keepNext w:val="0"/>
              <w:keepLines w:val="0"/>
              <w:widowControl/>
              <w:suppressLineNumbers w:val="0"/>
              <w:shd w:val="clear"/>
              <w:jc w:val="center"/>
              <w:textAlignment w:val="center"/>
              <w:rPr>
                <w:rFonts w:hint="default" w:ascii="Times New Roman" w:hAnsi="Times New Roman" w:eastAsia="宋体" w:cs="Times New Roman"/>
                <w:b/>
                <w:i w:val="0"/>
                <w:color w:val="auto"/>
                <w:sz w:val="18"/>
                <w:szCs w:val="18"/>
                <w:highlight w:val="none"/>
                <w:u w:val="none"/>
              </w:rPr>
            </w:pPr>
            <w:r>
              <w:rPr>
                <w:rFonts w:hint="eastAsia" w:ascii="宋体" w:hAnsi="宋体" w:cs="宋体"/>
                <w:b/>
                <w:i w:val="0"/>
                <w:color w:val="auto"/>
                <w:kern w:val="0"/>
                <w:sz w:val="18"/>
                <w:szCs w:val="18"/>
                <w:highlight w:val="none"/>
                <w:u w:val="none"/>
                <w:lang w:val="en-US" w:eastAsia="zh-CN" w:bidi="ar"/>
              </w:rPr>
              <w:t>指标设置</w:t>
            </w:r>
            <w:r>
              <w:rPr>
                <w:rFonts w:hint="eastAsia" w:ascii="宋体" w:hAnsi="宋体" w:eastAsia="宋体" w:cs="宋体"/>
                <w:b/>
                <w:i w:val="0"/>
                <w:color w:val="auto"/>
                <w:kern w:val="0"/>
                <w:sz w:val="18"/>
                <w:szCs w:val="18"/>
                <w:highlight w:val="none"/>
                <w:u w:val="none"/>
                <w:lang w:val="en-US" w:eastAsia="zh-CN" w:bidi="ar"/>
              </w:rPr>
              <w:t>说明</w:t>
            </w:r>
          </w:p>
        </w:tc>
      </w:tr>
      <w:tr w14:paraId="636CC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39"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4328">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54D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生物多样性保护（国家重点保护野生动植物物种保护率）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7229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066C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5AC9B">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≥95</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5E517">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目标值落实省、市“十四五”生态修复规划目标。</w:t>
            </w:r>
          </w:p>
        </w:tc>
      </w:tr>
      <w:tr w14:paraId="617A1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8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D3DF">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840D0">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森林覆盖率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1A92E">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377AA">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82.2</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F0A19">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宋体" w:hAnsi="宋体" w:eastAsia="宋体" w:cs="宋体"/>
                <w:i w:val="0"/>
                <w:color w:val="auto"/>
                <w:kern w:val="0"/>
                <w:sz w:val="18"/>
                <w:szCs w:val="18"/>
                <w:highlight w:val="none"/>
                <w:u w:val="none"/>
                <w:lang w:val="en-US" w:eastAsia="zh-CN" w:bidi="ar"/>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5E1E6">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龙南市国民经济和社会发展第十四个五年</w:t>
            </w:r>
            <w:r>
              <w:rPr>
                <w:rFonts w:hint="default" w:ascii="Times New Roman" w:hAnsi="Times New Roman" w:eastAsia="宋体" w:cs="Times New Roman"/>
                <w:i w:val="0"/>
                <w:color w:val="auto"/>
                <w:kern w:val="0"/>
                <w:sz w:val="18"/>
                <w:szCs w:val="18"/>
                <w:highlight w:val="none"/>
                <w:u w:val="none"/>
                <w:lang w:val="en-US" w:eastAsia="zh-CN" w:bidi="ar"/>
              </w:rPr>
              <w:t>规划</w:t>
            </w:r>
            <w:r>
              <w:rPr>
                <w:rFonts w:hint="eastAsia" w:ascii="Times New Roman" w:hAnsi="Times New Roman" w:cs="Times New Roman"/>
                <w:i w:val="0"/>
                <w:color w:val="auto"/>
                <w:kern w:val="0"/>
                <w:sz w:val="18"/>
                <w:szCs w:val="18"/>
                <w:highlight w:val="none"/>
                <w:u w:val="none"/>
                <w:lang w:val="en-US" w:eastAsia="zh-CN" w:bidi="ar"/>
              </w:rPr>
              <w:t>和二〇三五年远景目标</w:t>
            </w:r>
            <w:r>
              <w:rPr>
                <w:rFonts w:hint="default" w:ascii="Times New Roman" w:hAnsi="Times New Roman" w:eastAsia="宋体" w:cs="Times New Roman"/>
                <w:i w:val="0"/>
                <w:color w:val="auto"/>
                <w:kern w:val="0"/>
                <w:sz w:val="18"/>
                <w:szCs w:val="18"/>
                <w:highlight w:val="none"/>
                <w:u w:val="none"/>
                <w:lang w:val="en-US" w:eastAsia="zh-CN" w:bidi="ar"/>
              </w:rPr>
              <w:t>纲要》</w:t>
            </w:r>
            <w:r>
              <w:rPr>
                <w:rFonts w:hint="eastAsia" w:ascii="Times New Roman" w:hAnsi="Times New Roman" w:cs="Times New Roman"/>
                <w:i w:val="0"/>
                <w:color w:val="auto"/>
                <w:kern w:val="0"/>
                <w:sz w:val="18"/>
                <w:szCs w:val="18"/>
                <w:highlight w:val="none"/>
                <w:u w:val="none"/>
                <w:lang w:val="en-US" w:eastAsia="zh-CN" w:bidi="ar"/>
              </w:rPr>
              <w:t>专栏1</w:t>
            </w:r>
            <w:r>
              <w:rPr>
                <w:rFonts w:hint="default" w:ascii="Times New Roman" w:hAnsi="Times New Roman" w:eastAsia="宋体" w:cs="Times New Roman"/>
                <w:i w:val="0"/>
                <w:color w:val="auto"/>
                <w:kern w:val="0"/>
                <w:sz w:val="18"/>
                <w:szCs w:val="18"/>
                <w:highlight w:val="none"/>
                <w:u w:val="none"/>
                <w:lang w:val="en-US" w:eastAsia="zh-CN" w:bidi="ar"/>
              </w:rPr>
              <w:t>：“十四五”时期</w:t>
            </w:r>
            <w:r>
              <w:rPr>
                <w:rFonts w:hint="eastAsia" w:ascii="Times New Roman" w:hAnsi="Times New Roman" w:cs="Times New Roman"/>
                <w:i w:val="0"/>
                <w:color w:val="auto"/>
                <w:kern w:val="0"/>
                <w:sz w:val="18"/>
                <w:szCs w:val="18"/>
                <w:highlight w:val="none"/>
                <w:u w:val="none"/>
                <w:lang w:val="en-US" w:eastAsia="zh-CN" w:bidi="ar"/>
              </w:rPr>
              <w:t>经济社会</w:t>
            </w:r>
            <w:r>
              <w:rPr>
                <w:rFonts w:hint="default" w:ascii="Times New Roman" w:hAnsi="Times New Roman" w:eastAsia="宋体" w:cs="Times New Roman"/>
                <w:i w:val="0"/>
                <w:color w:val="auto"/>
                <w:kern w:val="0"/>
                <w:sz w:val="18"/>
                <w:szCs w:val="18"/>
                <w:highlight w:val="none"/>
                <w:u w:val="none"/>
                <w:lang w:val="en-US" w:eastAsia="zh-CN" w:bidi="ar"/>
              </w:rPr>
              <w:t>发展</w:t>
            </w:r>
            <w:r>
              <w:rPr>
                <w:rFonts w:hint="eastAsia" w:ascii="Times New Roman" w:hAnsi="Times New Roman" w:cs="Times New Roman"/>
                <w:i w:val="0"/>
                <w:color w:val="auto"/>
                <w:kern w:val="0"/>
                <w:sz w:val="18"/>
                <w:szCs w:val="18"/>
                <w:highlight w:val="none"/>
                <w:u w:val="none"/>
                <w:lang w:val="en-US" w:eastAsia="zh-CN" w:bidi="ar"/>
              </w:rPr>
              <w:t>主要指标</w:t>
            </w:r>
            <w:r>
              <w:rPr>
                <w:rFonts w:hint="default" w:ascii="Times New Roman" w:hAnsi="Times New Roman" w:eastAsia="宋体" w:cs="Times New Roman"/>
                <w:i w:val="0"/>
                <w:color w:val="auto"/>
                <w:kern w:val="0"/>
                <w:sz w:val="18"/>
                <w:szCs w:val="18"/>
                <w:highlight w:val="none"/>
                <w:u w:val="none"/>
                <w:lang w:val="en-US" w:eastAsia="zh-CN" w:bidi="ar"/>
              </w:rPr>
              <w:t>。</w:t>
            </w:r>
          </w:p>
        </w:tc>
      </w:tr>
      <w:tr w14:paraId="2E606E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4"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2D08B">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53D22">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森林蓄积量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DFEC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万立方米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4D793">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065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87676">
            <w:pPr>
              <w:keepNext w:val="0"/>
              <w:keepLines w:val="0"/>
              <w:widowControl/>
              <w:suppressLineNumbers w:val="0"/>
              <w:shd w:val="clear"/>
              <w:jc w:val="center"/>
              <w:textAlignment w:val="center"/>
              <w:rPr>
                <w:rFonts w:hint="eastAsia" w:ascii="Times New Roman" w:hAnsi="Times New Roman" w:eastAsia="宋体" w:cs="Times New Roman"/>
                <w:i w:val="0"/>
                <w:color w:val="auto"/>
                <w:sz w:val="18"/>
                <w:szCs w:val="18"/>
                <w:highlight w:val="none"/>
                <w:u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1208</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28B28">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“十四五”林业发展规划（</w:t>
            </w:r>
            <w:r>
              <w:rPr>
                <w:rFonts w:hint="eastAsia" w:ascii="Times New Roman" w:hAnsi="Times New Roman" w:cs="Times New Roman"/>
                <w:i w:val="0"/>
                <w:color w:val="auto"/>
                <w:kern w:val="0"/>
                <w:sz w:val="18"/>
                <w:szCs w:val="18"/>
                <w:highlight w:val="none"/>
                <w:u w:val="none"/>
                <w:lang w:val="en-US" w:eastAsia="zh-CN" w:bidi="ar"/>
              </w:rPr>
              <w:t>讨论</w:t>
            </w:r>
            <w:r>
              <w:rPr>
                <w:rFonts w:hint="default" w:ascii="Times New Roman" w:hAnsi="Times New Roman" w:eastAsia="宋体" w:cs="Times New Roman"/>
                <w:i w:val="0"/>
                <w:color w:val="auto"/>
                <w:kern w:val="0"/>
                <w:sz w:val="18"/>
                <w:szCs w:val="18"/>
                <w:highlight w:val="none"/>
                <w:u w:val="none"/>
                <w:lang w:val="en-US" w:eastAsia="zh-CN" w:bidi="ar"/>
              </w:rPr>
              <w:t>稿）》</w:t>
            </w:r>
            <w:r>
              <w:rPr>
                <w:rFonts w:hint="eastAsia" w:ascii="Times New Roman" w:hAnsi="Times New Roman" w:cs="Times New Roman"/>
                <w:i w:val="0"/>
                <w:color w:val="auto"/>
                <w:kern w:val="0"/>
                <w:sz w:val="18"/>
                <w:szCs w:val="18"/>
                <w:highlight w:val="none"/>
                <w:u w:val="none"/>
                <w:lang w:val="en-US" w:eastAsia="zh-CN" w:bidi="ar"/>
              </w:rPr>
              <w:t>专栏</w:t>
            </w:r>
            <w:r>
              <w:rPr>
                <w:rFonts w:hint="default" w:ascii="Times New Roman" w:hAnsi="Times New Roman" w:eastAsia="宋体"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“十四五”林业发展</w:t>
            </w:r>
            <w:r>
              <w:rPr>
                <w:rFonts w:hint="eastAsia" w:ascii="Times New Roman" w:hAnsi="Times New Roman" w:cs="Times New Roman"/>
                <w:i w:val="0"/>
                <w:color w:val="auto"/>
                <w:kern w:val="0"/>
                <w:sz w:val="18"/>
                <w:szCs w:val="18"/>
                <w:highlight w:val="none"/>
                <w:u w:val="none"/>
                <w:lang w:val="en-US" w:eastAsia="zh-CN" w:bidi="ar"/>
              </w:rPr>
              <w:t>规划</w:t>
            </w:r>
            <w:r>
              <w:rPr>
                <w:rFonts w:hint="default" w:ascii="Times New Roman" w:hAnsi="Times New Roman" w:eastAsia="宋体" w:cs="Times New Roman"/>
                <w:i w:val="0"/>
                <w:color w:val="auto"/>
                <w:kern w:val="0"/>
                <w:sz w:val="18"/>
                <w:szCs w:val="18"/>
                <w:highlight w:val="none"/>
                <w:u w:val="none"/>
                <w:lang w:val="en-US" w:eastAsia="zh-CN" w:bidi="ar"/>
              </w:rPr>
              <w:t>主要指标。</w:t>
            </w:r>
          </w:p>
        </w:tc>
      </w:tr>
      <w:tr w14:paraId="77BFF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6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AFB0">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eastAsia" w:ascii="Times New Roman" w:hAnsi="Times New Roman" w:cs="Times New Roman" w:eastAsiaTheme="minorEastAsia"/>
                <w:b w:val="0"/>
                <w:i w:val="0"/>
                <w:color w:val="auto"/>
                <w:kern w:val="0"/>
                <w:sz w:val="18"/>
                <w:szCs w:val="18"/>
                <w:highlight w:val="none"/>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F766D">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eastAsiaTheme="minorEastAsia"/>
                <w:b w:val="0"/>
                <w:i w:val="0"/>
                <w:color w:val="auto"/>
                <w:kern w:val="0"/>
                <w:sz w:val="18"/>
                <w:szCs w:val="18"/>
                <w:highlight w:val="none"/>
                <w:u w:val="none"/>
                <w:lang w:val="en-US" w:eastAsia="zh-CN" w:bidi="ar"/>
              </w:rPr>
              <w:t>自然保护地面积占国土面积比例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49405">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default" w:ascii="Times New Roman" w:hAnsi="Times New Roman" w:cs="Times New Roman" w:eastAsiaTheme="minorEastAsia"/>
                <w:b w:val="0"/>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8C3F6">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eastAsia" w:ascii="Times New Roman" w:hAnsi="Times New Roman" w:cs="Times New Roman" w:eastAsiaTheme="minorEastAsia"/>
                <w:b w:val="0"/>
                <w:i w:val="0"/>
                <w:color w:val="auto"/>
                <w:kern w:val="0"/>
                <w:sz w:val="18"/>
                <w:szCs w:val="18"/>
                <w:highlight w:val="none"/>
                <w:u w:val="none"/>
                <w:lang w:val="en-US" w:eastAsia="zh-CN" w:bidi="ar"/>
              </w:rPr>
              <w:t>24.73</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69CE0">
            <w:pPr>
              <w:keepNext w:val="0"/>
              <w:keepLines w:val="0"/>
              <w:widowControl/>
              <w:suppressLineNumbers w:val="0"/>
              <w:shd w:val="clear"/>
              <w:jc w:val="center"/>
              <w:textAlignment w:val="center"/>
              <w:rPr>
                <w:rFonts w:hint="default" w:ascii="Times New Roman" w:hAnsi="Times New Roman" w:cs="Times New Roman" w:eastAsiaTheme="minorEastAsia"/>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6E7BA">
            <w:pPr>
              <w:keepNext w:val="0"/>
              <w:keepLines w:val="0"/>
              <w:widowControl/>
              <w:suppressLineNumbers w:val="0"/>
              <w:shd w:val="clear"/>
              <w:jc w:val="left"/>
              <w:textAlignment w:val="center"/>
              <w:rPr>
                <w:rFonts w:hint="eastAsia" w:ascii="宋体" w:hAnsi="宋体" w:eastAsia="宋体" w:cs="宋体"/>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“十四五”林业发展规划（</w:t>
            </w:r>
            <w:r>
              <w:rPr>
                <w:rFonts w:hint="eastAsia" w:ascii="Times New Roman" w:hAnsi="Times New Roman" w:cs="Times New Roman"/>
                <w:i w:val="0"/>
                <w:color w:val="auto"/>
                <w:kern w:val="0"/>
                <w:sz w:val="18"/>
                <w:szCs w:val="18"/>
                <w:highlight w:val="none"/>
                <w:u w:val="none"/>
                <w:lang w:val="en-US" w:eastAsia="zh-CN" w:bidi="ar"/>
              </w:rPr>
              <w:t>讨论</w:t>
            </w:r>
            <w:r>
              <w:rPr>
                <w:rFonts w:hint="default" w:ascii="Times New Roman" w:hAnsi="Times New Roman" w:eastAsia="宋体" w:cs="Times New Roman"/>
                <w:i w:val="0"/>
                <w:color w:val="auto"/>
                <w:kern w:val="0"/>
                <w:sz w:val="18"/>
                <w:szCs w:val="18"/>
                <w:highlight w:val="none"/>
                <w:u w:val="none"/>
                <w:lang w:val="en-US" w:eastAsia="zh-CN" w:bidi="ar"/>
              </w:rPr>
              <w:t>稿）》</w:t>
            </w:r>
            <w:r>
              <w:rPr>
                <w:rFonts w:hint="eastAsia" w:ascii="Times New Roman" w:hAnsi="Times New Roman" w:cs="Times New Roman"/>
                <w:i w:val="0"/>
                <w:color w:val="auto"/>
                <w:kern w:val="0"/>
                <w:sz w:val="18"/>
                <w:szCs w:val="18"/>
                <w:highlight w:val="none"/>
                <w:u w:val="none"/>
                <w:lang w:val="en-US" w:eastAsia="zh-CN" w:bidi="ar"/>
              </w:rPr>
              <w:t>专栏</w:t>
            </w:r>
            <w:r>
              <w:rPr>
                <w:rFonts w:hint="default" w:ascii="Times New Roman" w:hAnsi="Times New Roman" w:eastAsia="宋体" w:cs="Times New Roman"/>
                <w:i w:val="0"/>
                <w:color w:val="auto"/>
                <w:kern w:val="0"/>
                <w:sz w:val="18"/>
                <w:szCs w:val="18"/>
                <w:highlight w:val="none"/>
                <w:u w:val="none"/>
                <w:lang w:val="en-US" w:eastAsia="zh-CN" w:bidi="ar"/>
              </w:rPr>
              <w:t>2</w:t>
            </w:r>
            <w:r>
              <w:rPr>
                <w:rFonts w:hint="eastAsia" w:ascii="Times New Roman" w:hAnsi="Times New Roman" w:cs="Times New Roman"/>
                <w:i w:val="0"/>
                <w:color w:val="auto"/>
                <w:kern w:val="0"/>
                <w:sz w:val="18"/>
                <w:szCs w:val="18"/>
                <w:highlight w:val="none"/>
                <w:u w:val="none"/>
                <w:lang w:val="en-US" w:eastAsia="zh-CN" w:bidi="ar"/>
              </w:rPr>
              <w:t>：</w:t>
            </w:r>
            <w:r>
              <w:rPr>
                <w:rFonts w:hint="default" w:ascii="Times New Roman" w:hAnsi="Times New Roman" w:eastAsia="宋体" w:cs="Times New Roman"/>
                <w:i w:val="0"/>
                <w:color w:val="auto"/>
                <w:kern w:val="0"/>
                <w:sz w:val="18"/>
                <w:szCs w:val="18"/>
                <w:highlight w:val="none"/>
                <w:u w:val="none"/>
                <w:lang w:val="en-US" w:eastAsia="zh-CN" w:bidi="ar"/>
              </w:rPr>
              <w:t>“十四五”林业发展</w:t>
            </w:r>
            <w:r>
              <w:rPr>
                <w:rFonts w:hint="eastAsia" w:ascii="Times New Roman" w:hAnsi="Times New Roman" w:cs="Times New Roman"/>
                <w:i w:val="0"/>
                <w:color w:val="auto"/>
                <w:kern w:val="0"/>
                <w:sz w:val="18"/>
                <w:szCs w:val="18"/>
                <w:highlight w:val="none"/>
                <w:u w:val="none"/>
                <w:lang w:val="en-US" w:eastAsia="zh-CN" w:bidi="ar"/>
              </w:rPr>
              <w:t>规划</w:t>
            </w:r>
            <w:r>
              <w:rPr>
                <w:rFonts w:hint="default" w:ascii="Times New Roman" w:hAnsi="Times New Roman" w:eastAsia="宋体" w:cs="Times New Roman"/>
                <w:i w:val="0"/>
                <w:color w:val="auto"/>
                <w:kern w:val="0"/>
                <w:sz w:val="18"/>
                <w:szCs w:val="18"/>
                <w:highlight w:val="none"/>
                <w:u w:val="none"/>
                <w:lang w:val="en-US" w:eastAsia="zh-CN" w:bidi="ar"/>
              </w:rPr>
              <w:t>主要指标。</w:t>
            </w:r>
          </w:p>
        </w:tc>
      </w:tr>
      <w:tr w14:paraId="43259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26791">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Times New Roman" w:hAnsi="Times New Roman" w:cs="Times New Roman"/>
                <w:i w:val="0"/>
                <w:color w:val="auto"/>
                <w:kern w:val="0"/>
                <w:sz w:val="18"/>
                <w:szCs w:val="18"/>
                <w:highlight w:val="none"/>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60BEE">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生态保护红线占国土面积比例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8742">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D1586">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36.17</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D7FD3">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52AFB">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根据</w:t>
            </w:r>
            <w:r>
              <w:rPr>
                <w:rFonts w:hint="eastAsia" w:ascii="宋体" w:hAnsi="宋体" w:cs="宋体"/>
                <w:i w:val="0"/>
                <w:color w:val="auto"/>
                <w:kern w:val="0"/>
                <w:sz w:val="18"/>
                <w:szCs w:val="18"/>
                <w:highlight w:val="none"/>
                <w:u w:val="none"/>
                <w:lang w:val="en-US" w:eastAsia="zh-CN" w:bidi="ar"/>
              </w:rPr>
              <w:t>《</w:t>
            </w:r>
            <w:r>
              <w:rPr>
                <w:rFonts w:hint="default" w:ascii="Times New Roman" w:hAnsi="Times New Roman" w:cs="Times New Roman"/>
                <w:i w:val="0"/>
                <w:color w:val="auto"/>
                <w:kern w:val="0"/>
                <w:sz w:val="18"/>
                <w:szCs w:val="18"/>
                <w:highlight w:val="none"/>
                <w:u w:val="none"/>
                <w:lang w:val="en-US" w:eastAsia="zh-CN" w:bidi="ar"/>
              </w:rPr>
              <w:t>360727</w:t>
            </w:r>
            <w:r>
              <w:rPr>
                <w:rFonts w:hint="eastAsia" w:ascii="宋体" w:hAnsi="宋体" w:cs="宋体"/>
                <w:i w:val="0"/>
                <w:color w:val="auto"/>
                <w:kern w:val="0"/>
                <w:sz w:val="18"/>
                <w:szCs w:val="18"/>
                <w:highlight w:val="none"/>
                <w:u w:val="none"/>
                <w:lang w:val="en-US" w:eastAsia="zh-CN" w:bidi="ar"/>
              </w:rPr>
              <w:t>龙南市“三区三线”划定报告》</w:t>
            </w:r>
            <w:r>
              <w:rPr>
                <w:rFonts w:hint="eastAsia" w:ascii="宋体" w:hAnsi="宋体" w:eastAsia="宋体" w:cs="宋体"/>
                <w:i w:val="0"/>
                <w:color w:val="auto"/>
                <w:kern w:val="0"/>
                <w:sz w:val="18"/>
                <w:szCs w:val="18"/>
                <w:highlight w:val="none"/>
                <w:u w:val="none"/>
                <w:lang w:val="en-US" w:eastAsia="zh-CN" w:bidi="ar"/>
              </w:rPr>
              <w:t>。</w:t>
            </w:r>
          </w:p>
        </w:tc>
      </w:tr>
      <w:tr w14:paraId="75C8A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5F5E">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CFFF3">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天然林面积保有量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40D67">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万亩</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1966A">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111.68</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9D29">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default" w:ascii="Times New Roman" w:hAnsi="Times New Roman" w:cs="Times New Roman"/>
                <w:i w:val="0"/>
                <w:color w:val="auto"/>
                <w:kern w:val="0"/>
                <w:sz w:val="18"/>
                <w:szCs w:val="18"/>
                <w:highlight w:val="none"/>
                <w:u w:val="none"/>
                <w:lang w:val="en-US" w:eastAsia="zh-CN" w:bidi="ar"/>
              </w:rPr>
              <w:t>11</w:t>
            </w:r>
            <w:r>
              <w:rPr>
                <w:rFonts w:hint="eastAsia" w:ascii="Times New Roman" w:hAnsi="Times New Roman" w:cs="Times New Roman"/>
                <w:i w:val="0"/>
                <w:color w:val="auto"/>
                <w:kern w:val="0"/>
                <w:sz w:val="18"/>
                <w:szCs w:val="18"/>
                <w:highlight w:val="none"/>
                <w:u w:val="none"/>
                <w:lang w:val="en-US" w:eastAsia="zh-CN" w:bidi="ar"/>
              </w:rPr>
              <w:t>1.68</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F51B">
            <w:pPr>
              <w:keepNext w:val="0"/>
              <w:keepLines w:val="0"/>
              <w:widowControl/>
              <w:suppressLineNumbers w:val="0"/>
              <w:shd w:val="clear"/>
              <w:jc w:val="left"/>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Times New Roman" w:hAnsi="Times New Roman" w:eastAsia="宋体" w:cs="Times New Roman"/>
                <w:i w:val="0"/>
                <w:color w:val="auto"/>
                <w:kern w:val="0"/>
                <w:sz w:val="18"/>
                <w:szCs w:val="18"/>
                <w:highlight w:val="none"/>
                <w:u w:val="none"/>
                <w:lang w:val="en-US" w:eastAsia="zh-CN" w:bidi="ar"/>
              </w:rPr>
              <w:t>根据《龙南县第七次森林资源二类调查成果报告》</w:t>
            </w:r>
            <w:r>
              <w:rPr>
                <w:rFonts w:hint="eastAsia" w:ascii="Times New Roman" w:hAnsi="Times New Roman" w:cs="Times New Roman"/>
                <w:i w:val="0"/>
                <w:color w:val="auto"/>
                <w:kern w:val="0"/>
                <w:sz w:val="18"/>
                <w:szCs w:val="18"/>
                <w:highlight w:val="none"/>
                <w:u w:val="none"/>
                <w:lang w:val="en-US" w:eastAsia="zh-CN" w:bidi="ar"/>
              </w:rPr>
              <w:t>中</w:t>
            </w:r>
            <w:r>
              <w:rPr>
                <w:rFonts w:hint="eastAsia" w:ascii="Times New Roman" w:hAnsi="Times New Roman" w:eastAsia="宋体"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二、主要调查成果</w:t>
            </w:r>
            <w:r>
              <w:rPr>
                <w:rFonts w:hint="eastAsia" w:ascii="Times New Roman" w:hAnsi="Times New Roman" w:eastAsia="宋体" w:cs="Times New Roman"/>
                <w:i w:val="0"/>
                <w:color w:val="auto"/>
                <w:kern w:val="0"/>
                <w:sz w:val="18"/>
                <w:szCs w:val="18"/>
                <w:highlight w:val="none"/>
                <w:u w:val="none"/>
                <w:lang w:val="en-US" w:eastAsia="zh-CN" w:bidi="ar"/>
              </w:rPr>
              <w:t>”</w:t>
            </w:r>
            <w:r>
              <w:rPr>
                <w:rFonts w:hint="eastAsia" w:ascii="宋体" w:hAnsi="宋体" w:eastAsia="宋体" w:cs="宋体"/>
                <w:i w:val="0"/>
                <w:color w:val="auto"/>
                <w:kern w:val="0"/>
                <w:sz w:val="18"/>
                <w:szCs w:val="18"/>
                <w:highlight w:val="none"/>
                <w:u w:val="none"/>
                <w:lang w:val="en-US" w:eastAsia="zh-CN" w:bidi="ar"/>
              </w:rPr>
              <w:t>。</w:t>
            </w:r>
          </w:p>
        </w:tc>
      </w:tr>
      <w:tr w14:paraId="70FFF4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82B1">
            <w:pPr>
              <w:keepNext w:val="0"/>
              <w:keepLines w:val="0"/>
              <w:widowControl/>
              <w:suppressLineNumbers w:val="0"/>
              <w:shd w:val="clear"/>
              <w:jc w:val="center"/>
              <w:textAlignment w:val="center"/>
              <w:rPr>
                <w:rFonts w:hint="eastAsia"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7</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AF5C6">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新增水土流失综合治理面积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CA9D">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cs="宋体"/>
                <w:i w:val="0"/>
                <w:color w:val="auto"/>
                <w:kern w:val="0"/>
                <w:sz w:val="18"/>
                <w:szCs w:val="18"/>
                <w:highlight w:val="none"/>
                <w:u w:val="none"/>
                <w:lang w:val="en-US" w:eastAsia="zh-CN" w:bidi="ar"/>
              </w:rPr>
              <w:t>平方千米</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13B5">
            <w:pPr>
              <w:keepNext w:val="0"/>
              <w:keepLines w:val="0"/>
              <w:widowControl/>
              <w:suppressLineNumbers w:val="0"/>
              <w:shd w:val="clear"/>
              <w:jc w:val="center"/>
              <w:textAlignment w:val="center"/>
              <w:rPr>
                <w:rFonts w:hint="eastAsia"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96.8</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EE258">
            <w:pPr>
              <w:keepNext w:val="0"/>
              <w:keepLines w:val="0"/>
              <w:widowControl/>
              <w:suppressLineNumbers w:val="0"/>
              <w:shd w:val="clear"/>
              <w:jc w:val="center"/>
              <w:textAlignment w:val="center"/>
              <w:rPr>
                <w:rFonts w:hint="default" w:ascii="Times New Roman" w:hAnsi="Times New Roman"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70</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74D36">
            <w:pPr>
              <w:keepNext w:val="0"/>
              <w:keepLines w:val="0"/>
              <w:widowControl/>
              <w:suppressLineNumbers w:val="0"/>
              <w:shd w:val="clear"/>
              <w:jc w:val="left"/>
              <w:textAlignment w:val="center"/>
              <w:rPr>
                <w:rFonts w:hint="eastAsia"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源于《</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“十四五”水</w:t>
            </w:r>
            <w:r>
              <w:rPr>
                <w:rFonts w:hint="eastAsia" w:ascii="Times New Roman" w:hAnsi="Times New Roman" w:cs="Times New Roman"/>
                <w:i w:val="0"/>
                <w:color w:val="auto"/>
                <w:kern w:val="0"/>
                <w:sz w:val="18"/>
                <w:szCs w:val="18"/>
                <w:highlight w:val="none"/>
                <w:u w:val="none"/>
                <w:lang w:val="en-US" w:eastAsia="zh-CN" w:bidi="ar"/>
              </w:rPr>
              <w:t>利发展</w:t>
            </w:r>
            <w:r>
              <w:rPr>
                <w:rFonts w:hint="default" w:ascii="Times New Roman" w:hAnsi="Times New Roman" w:eastAsia="宋体" w:cs="Times New Roman"/>
                <w:i w:val="0"/>
                <w:color w:val="auto"/>
                <w:kern w:val="0"/>
                <w:sz w:val="18"/>
                <w:szCs w:val="18"/>
                <w:highlight w:val="none"/>
                <w:u w:val="none"/>
                <w:lang w:val="en-US" w:eastAsia="zh-CN" w:bidi="ar"/>
              </w:rPr>
              <w:t>规划报告》</w:t>
            </w:r>
            <w:r>
              <w:rPr>
                <w:rFonts w:hint="eastAsia" w:ascii="Times New Roman" w:hAnsi="Times New Roman" w:cs="Times New Roman"/>
                <w:i w:val="0"/>
                <w:color w:val="auto"/>
                <w:kern w:val="0"/>
                <w:sz w:val="18"/>
                <w:szCs w:val="18"/>
                <w:highlight w:val="none"/>
                <w:u w:val="none"/>
                <w:lang w:val="en-US" w:eastAsia="zh-CN" w:bidi="ar"/>
              </w:rPr>
              <w:t>规划主要指标及2.1“十三五”水利改革发展成就</w:t>
            </w:r>
            <w:r>
              <w:rPr>
                <w:rFonts w:hint="default" w:ascii="Times New Roman" w:hAnsi="Times New Roman" w:eastAsia="宋体" w:cs="Times New Roman"/>
                <w:i w:val="0"/>
                <w:color w:val="auto"/>
                <w:kern w:val="0"/>
                <w:sz w:val="18"/>
                <w:szCs w:val="18"/>
                <w:highlight w:val="none"/>
                <w:u w:val="none"/>
                <w:lang w:val="en-US" w:eastAsia="zh-CN" w:bidi="ar"/>
              </w:rPr>
              <w:t>。</w:t>
            </w:r>
          </w:p>
        </w:tc>
      </w:tr>
      <w:tr w14:paraId="19AB5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1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AEA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Times New Roman" w:hAnsi="Times New Roman" w:cs="Times New Roman"/>
                <w:i w:val="0"/>
                <w:color w:val="auto"/>
                <w:kern w:val="0"/>
                <w:sz w:val="18"/>
                <w:szCs w:val="18"/>
                <w:highlight w:val="none"/>
                <w:u w:val="none"/>
                <w:lang w:val="en-US" w:eastAsia="zh-CN" w:bidi="ar"/>
              </w:rPr>
              <w:t>8</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4F2D1">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水土保持率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7344">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5ECA">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8</w:t>
            </w:r>
            <w:r>
              <w:rPr>
                <w:rFonts w:hint="eastAsia" w:ascii="Times New Roman" w:hAnsi="Times New Roman" w:cs="Times New Roman"/>
                <w:i w:val="0"/>
                <w:color w:val="auto"/>
                <w:kern w:val="0"/>
                <w:sz w:val="18"/>
                <w:szCs w:val="18"/>
                <w:highlight w:val="none"/>
                <w:u w:val="none"/>
                <w:lang w:val="en-US" w:eastAsia="zh-CN" w:bidi="ar"/>
              </w:rPr>
              <w:t>3.23</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8ACDE">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84.12</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585CA">
            <w:pPr>
              <w:keepNext w:val="0"/>
              <w:keepLines w:val="0"/>
              <w:widowControl/>
              <w:suppressLineNumbers w:val="0"/>
              <w:shd w:val="clear"/>
              <w:jc w:val="left"/>
              <w:textAlignment w:val="center"/>
              <w:rPr>
                <w:rFonts w:hint="eastAsia" w:ascii="Times New Roman" w:hAnsi="Times New Roman" w:eastAsia="宋体" w:cs="Times New Roman"/>
                <w:i w:val="0"/>
                <w:color w:val="auto"/>
                <w:sz w:val="18"/>
                <w:szCs w:val="18"/>
                <w:highlight w:val="none"/>
                <w:u w:val="none"/>
                <w:lang w:val="en-US" w:eastAsia="zh-CN"/>
              </w:rPr>
            </w:pPr>
            <w:r>
              <w:rPr>
                <w:rFonts w:hint="eastAsia" w:ascii="Times New Roman" w:hAnsi="Times New Roman" w:cs="Times New Roman"/>
                <w:i w:val="0"/>
                <w:color w:val="auto"/>
                <w:sz w:val="18"/>
                <w:szCs w:val="18"/>
                <w:highlight w:val="none"/>
                <w:u w:val="none"/>
                <w:lang w:val="en-US" w:eastAsia="zh-CN"/>
              </w:rPr>
              <w:t>根据龙南市水利局征求意见。</w:t>
            </w:r>
          </w:p>
        </w:tc>
      </w:tr>
      <w:tr w14:paraId="25601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25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A86E7">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9</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F98B3">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湿地保护率</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2B3C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684D5">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13.34</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BBE90">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w:t>
            </w:r>
            <w:r>
              <w:rPr>
                <w:rFonts w:hint="eastAsia" w:ascii="Times New Roman" w:hAnsi="Times New Roman" w:cs="Times New Roman"/>
                <w:i w:val="0"/>
                <w:color w:val="auto"/>
                <w:kern w:val="0"/>
                <w:sz w:val="18"/>
                <w:szCs w:val="18"/>
                <w:highlight w:val="none"/>
                <w:u w:val="none"/>
                <w:lang w:val="en-US" w:eastAsia="zh-CN" w:bidi="ar"/>
              </w:rPr>
              <w:t>50</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7AE4">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目标值</w:t>
            </w: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“十四五”林业发展规划（</w:t>
            </w:r>
            <w:r>
              <w:rPr>
                <w:rFonts w:hint="eastAsia" w:ascii="Times New Roman" w:hAnsi="Times New Roman" w:cs="Times New Roman"/>
                <w:i w:val="0"/>
                <w:color w:val="auto"/>
                <w:kern w:val="0"/>
                <w:sz w:val="18"/>
                <w:szCs w:val="18"/>
                <w:highlight w:val="none"/>
                <w:u w:val="none"/>
                <w:lang w:val="en-US" w:eastAsia="zh-CN" w:bidi="ar"/>
              </w:rPr>
              <w:t>讨论</w:t>
            </w:r>
            <w:r>
              <w:rPr>
                <w:rFonts w:hint="default" w:ascii="Times New Roman" w:hAnsi="Times New Roman" w:eastAsia="宋体" w:cs="Times New Roman"/>
                <w:i w:val="0"/>
                <w:color w:val="auto"/>
                <w:kern w:val="0"/>
                <w:sz w:val="18"/>
                <w:szCs w:val="18"/>
                <w:highlight w:val="none"/>
                <w:u w:val="none"/>
                <w:lang w:val="en-US" w:eastAsia="zh-CN" w:bidi="ar"/>
              </w:rPr>
              <w:t>稿）》</w:t>
            </w:r>
            <w:r>
              <w:rPr>
                <w:rFonts w:hint="eastAsia" w:ascii="Times New Roman" w:hAnsi="Times New Roman" w:cs="Times New Roman"/>
                <w:i w:val="0"/>
                <w:color w:val="auto"/>
                <w:kern w:val="0"/>
                <w:sz w:val="18"/>
                <w:szCs w:val="18"/>
                <w:highlight w:val="none"/>
                <w:u w:val="none"/>
                <w:lang w:val="en-US" w:eastAsia="zh-CN" w:bidi="ar"/>
              </w:rPr>
              <w:t>第四章第一节（2）、完善自然保护地体系章节。</w:t>
            </w:r>
            <w:r>
              <w:rPr>
                <w:rFonts w:hint="eastAsia" w:ascii="宋体" w:hAnsi="宋体" w:eastAsia="宋体" w:cs="宋体"/>
                <w:i w:val="0"/>
                <w:color w:val="auto"/>
                <w:kern w:val="0"/>
                <w:sz w:val="18"/>
                <w:szCs w:val="18"/>
                <w:highlight w:val="none"/>
                <w:u w:val="none"/>
                <w:lang w:val="en-US" w:eastAsia="zh-CN" w:bidi="ar"/>
              </w:rPr>
              <w:t>基期值</w:t>
            </w:r>
            <w:r>
              <w:rPr>
                <w:rFonts w:hint="eastAsia" w:ascii="宋体" w:hAnsi="宋体" w:cs="宋体"/>
                <w:i w:val="0"/>
                <w:color w:val="auto"/>
                <w:kern w:val="0"/>
                <w:sz w:val="18"/>
                <w:szCs w:val="18"/>
                <w:highlight w:val="none"/>
                <w:u w:val="none"/>
                <w:lang w:val="en-US" w:eastAsia="zh-CN" w:bidi="ar"/>
              </w:rPr>
              <w:t>在龙南市相关规划中未查找到，故</w:t>
            </w:r>
            <w:r>
              <w:rPr>
                <w:rFonts w:hint="eastAsia" w:ascii="宋体" w:hAnsi="宋体" w:eastAsia="宋体" w:cs="宋体"/>
                <w:i w:val="0"/>
                <w:color w:val="auto"/>
                <w:kern w:val="0"/>
                <w:sz w:val="18"/>
                <w:szCs w:val="18"/>
                <w:highlight w:val="none"/>
                <w:u w:val="none"/>
                <w:lang w:val="en-US" w:eastAsia="zh-CN" w:bidi="ar"/>
              </w:rPr>
              <w:t>根据《</w:t>
            </w:r>
            <w:r>
              <w:rPr>
                <w:rFonts w:hint="eastAsia" w:ascii="宋体" w:hAnsi="宋体" w:cs="宋体"/>
                <w:i w:val="0"/>
                <w:color w:val="auto"/>
                <w:kern w:val="0"/>
                <w:sz w:val="18"/>
                <w:szCs w:val="18"/>
                <w:highlight w:val="none"/>
                <w:u w:val="none"/>
                <w:lang w:val="en-US" w:eastAsia="zh-CN" w:bidi="ar"/>
              </w:rPr>
              <w:t>中华人民共和国湿地保护法</w:t>
            </w: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cs="宋体"/>
                <w:i w:val="0"/>
                <w:color w:val="auto"/>
                <w:kern w:val="0"/>
                <w:sz w:val="18"/>
                <w:szCs w:val="18"/>
                <w:highlight w:val="none"/>
                <w:u w:val="none"/>
                <w:lang w:val="en-US" w:eastAsia="zh-CN" w:bidi="ar"/>
              </w:rPr>
              <w:t>和《江西省湿地保护率统计办法（试行）》</w:t>
            </w:r>
            <w:r>
              <w:rPr>
                <w:rFonts w:hint="eastAsia" w:ascii="宋体" w:hAnsi="宋体" w:eastAsia="宋体" w:cs="宋体"/>
                <w:i w:val="0"/>
                <w:color w:val="auto"/>
                <w:kern w:val="0"/>
                <w:sz w:val="18"/>
                <w:szCs w:val="18"/>
                <w:highlight w:val="none"/>
                <w:u w:val="none"/>
                <w:lang w:val="en-US" w:eastAsia="zh-CN" w:bidi="ar"/>
              </w:rPr>
              <w:t>，</w:t>
            </w:r>
            <w:r>
              <w:rPr>
                <w:rFonts w:hint="eastAsia" w:ascii="宋体" w:hAnsi="宋体" w:cs="宋体"/>
                <w:i w:val="0"/>
                <w:color w:val="auto"/>
                <w:kern w:val="0"/>
                <w:sz w:val="18"/>
                <w:szCs w:val="18"/>
                <w:highlight w:val="none"/>
                <w:u w:val="none"/>
                <w:lang w:val="en-US" w:eastAsia="zh-CN" w:bidi="ar"/>
              </w:rPr>
              <w:t>用龙南市自然保护地范围内的三调1101、1103、1104、1106、1107类图斑受保护湿地面积，</w:t>
            </w:r>
            <w:r>
              <w:rPr>
                <w:rFonts w:hint="eastAsia" w:ascii="宋体" w:hAnsi="宋体" w:eastAsia="宋体" w:cs="宋体"/>
                <w:i w:val="0"/>
                <w:color w:val="auto"/>
                <w:kern w:val="0"/>
                <w:sz w:val="18"/>
                <w:szCs w:val="18"/>
                <w:highlight w:val="none"/>
                <w:u w:val="none"/>
                <w:lang w:val="en-US" w:eastAsia="zh-CN" w:bidi="ar"/>
              </w:rPr>
              <w:t>除以</w:t>
            </w:r>
            <w:r>
              <w:rPr>
                <w:rFonts w:hint="eastAsia" w:ascii="宋体" w:hAnsi="宋体" w:cs="宋体"/>
                <w:i w:val="0"/>
                <w:color w:val="auto"/>
                <w:kern w:val="0"/>
                <w:sz w:val="18"/>
                <w:szCs w:val="18"/>
                <w:highlight w:val="none"/>
                <w:u w:val="none"/>
                <w:lang w:val="en-US" w:eastAsia="zh-CN" w:bidi="ar"/>
              </w:rPr>
              <w:t>龙南市全域三调1101、1103、1104、1106、1107类图斑湿地总面积求得。</w:t>
            </w:r>
          </w:p>
        </w:tc>
      </w:tr>
      <w:tr w14:paraId="7C1EB5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97"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4C979">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0</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6E49">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地表水国家考核断面水质达到或好于</w:t>
            </w:r>
            <w:r>
              <w:rPr>
                <w:rFonts w:hint="default" w:ascii="Times New Roman" w:hAnsi="Times New Roman" w:eastAsia="宋体" w:cs="Times New Roman"/>
                <w:i w:val="0"/>
                <w:color w:val="auto"/>
                <w:kern w:val="0"/>
                <w:sz w:val="18"/>
                <w:szCs w:val="18"/>
                <w:highlight w:val="none"/>
                <w:u w:val="none"/>
                <w:lang w:val="en-US" w:eastAsia="zh-CN" w:bidi="ar"/>
              </w:rPr>
              <w:t>Ⅲ</w:t>
            </w:r>
            <w:r>
              <w:rPr>
                <w:rFonts w:hint="eastAsia" w:ascii="宋体" w:hAnsi="宋体" w:eastAsia="宋体" w:cs="宋体"/>
                <w:i w:val="0"/>
                <w:color w:val="auto"/>
                <w:kern w:val="0"/>
                <w:sz w:val="18"/>
                <w:szCs w:val="18"/>
                <w:highlight w:val="none"/>
                <w:u w:val="none"/>
                <w:lang w:val="en-US" w:eastAsia="zh-CN" w:bidi="ar"/>
              </w:rPr>
              <w:t>类水体比例</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B20D1">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320D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100</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51FA">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仿宋" w:hAnsi="仿宋" w:cs="仿宋"/>
                <w:color w:val="auto"/>
                <w:sz w:val="18"/>
                <w:szCs w:val="18"/>
                <w:highlight w:val="none"/>
                <w:lang w:val="en-US" w:eastAsia="zh-CN"/>
              </w:rPr>
              <w:t>保持稳定</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B7994">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根据《</w:t>
            </w:r>
            <w:r>
              <w:rPr>
                <w:rFonts w:hint="eastAsia" w:ascii="Times New Roman" w:hAnsi="Times New Roman" w:cs="Times New Roman"/>
                <w:i w:val="0"/>
                <w:color w:val="auto"/>
                <w:kern w:val="0"/>
                <w:sz w:val="18"/>
                <w:szCs w:val="18"/>
                <w:highlight w:val="none"/>
                <w:u w:val="none"/>
                <w:lang w:val="en-US" w:eastAsia="zh-CN" w:bidi="ar"/>
              </w:rPr>
              <w:t>龙南市国民经济和社会发展第十四个五年</w:t>
            </w:r>
            <w:r>
              <w:rPr>
                <w:rFonts w:hint="default" w:ascii="Times New Roman" w:hAnsi="Times New Roman" w:eastAsia="宋体" w:cs="Times New Roman"/>
                <w:i w:val="0"/>
                <w:color w:val="auto"/>
                <w:kern w:val="0"/>
                <w:sz w:val="18"/>
                <w:szCs w:val="18"/>
                <w:highlight w:val="none"/>
                <w:u w:val="none"/>
                <w:lang w:val="en-US" w:eastAsia="zh-CN" w:bidi="ar"/>
              </w:rPr>
              <w:t>规划</w:t>
            </w:r>
            <w:r>
              <w:rPr>
                <w:rFonts w:hint="eastAsia" w:ascii="Times New Roman" w:hAnsi="Times New Roman" w:cs="Times New Roman"/>
                <w:i w:val="0"/>
                <w:color w:val="auto"/>
                <w:kern w:val="0"/>
                <w:sz w:val="18"/>
                <w:szCs w:val="18"/>
                <w:highlight w:val="none"/>
                <w:u w:val="none"/>
                <w:lang w:val="en-US" w:eastAsia="zh-CN" w:bidi="ar"/>
              </w:rPr>
              <w:t>和二〇三五年远景目标</w:t>
            </w:r>
            <w:r>
              <w:rPr>
                <w:rFonts w:hint="default" w:ascii="Times New Roman" w:hAnsi="Times New Roman" w:eastAsia="宋体" w:cs="Times New Roman"/>
                <w:i w:val="0"/>
                <w:color w:val="auto"/>
                <w:kern w:val="0"/>
                <w:sz w:val="18"/>
                <w:szCs w:val="18"/>
                <w:highlight w:val="none"/>
                <w:u w:val="none"/>
                <w:lang w:val="en-US" w:eastAsia="zh-CN" w:bidi="ar"/>
              </w:rPr>
              <w:t>纲要》</w:t>
            </w:r>
            <w:r>
              <w:rPr>
                <w:rFonts w:hint="eastAsia" w:ascii="Times New Roman" w:hAnsi="Times New Roman" w:cs="Times New Roman"/>
                <w:i w:val="0"/>
                <w:color w:val="auto"/>
                <w:kern w:val="0"/>
                <w:sz w:val="18"/>
                <w:szCs w:val="18"/>
                <w:highlight w:val="none"/>
                <w:u w:val="none"/>
                <w:lang w:val="en-US" w:eastAsia="zh-CN" w:bidi="ar"/>
              </w:rPr>
              <w:t>专栏1</w:t>
            </w:r>
            <w:r>
              <w:rPr>
                <w:rFonts w:hint="default" w:ascii="Times New Roman" w:hAnsi="Times New Roman" w:eastAsia="宋体" w:cs="Times New Roman"/>
                <w:i w:val="0"/>
                <w:color w:val="auto"/>
                <w:kern w:val="0"/>
                <w:sz w:val="18"/>
                <w:szCs w:val="18"/>
                <w:highlight w:val="none"/>
                <w:u w:val="none"/>
                <w:lang w:val="en-US" w:eastAsia="zh-CN" w:bidi="ar"/>
              </w:rPr>
              <w:t>：“十四五”时期</w:t>
            </w:r>
            <w:r>
              <w:rPr>
                <w:rFonts w:hint="eastAsia" w:ascii="Times New Roman" w:hAnsi="Times New Roman" w:cs="Times New Roman"/>
                <w:i w:val="0"/>
                <w:color w:val="auto"/>
                <w:kern w:val="0"/>
                <w:sz w:val="18"/>
                <w:szCs w:val="18"/>
                <w:highlight w:val="none"/>
                <w:u w:val="none"/>
                <w:lang w:val="en-US" w:eastAsia="zh-CN" w:bidi="ar"/>
              </w:rPr>
              <w:t>经济社会</w:t>
            </w:r>
            <w:r>
              <w:rPr>
                <w:rFonts w:hint="default" w:ascii="Times New Roman" w:hAnsi="Times New Roman" w:eastAsia="宋体" w:cs="Times New Roman"/>
                <w:i w:val="0"/>
                <w:color w:val="auto"/>
                <w:kern w:val="0"/>
                <w:sz w:val="18"/>
                <w:szCs w:val="18"/>
                <w:highlight w:val="none"/>
                <w:u w:val="none"/>
                <w:lang w:val="en-US" w:eastAsia="zh-CN" w:bidi="ar"/>
              </w:rPr>
              <w:t>发展</w:t>
            </w:r>
            <w:r>
              <w:rPr>
                <w:rFonts w:hint="eastAsia" w:ascii="Times New Roman" w:hAnsi="Times New Roman" w:cs="Times New Roman"/>
                <w:i w:val="0"/>
                <w:color w:val="auto"/>
                <w:kern w:val="0"/>
                <w:sz w:val="18"/>
                <w:szCs w:val="18"/>
                <w:highlight w:val="none"/>
                <w:u w:val="none"/>
                <w:lang w:val="en-US" w:eastAsia="zh-CN" w:bidi="ar"/>
              </w:rPr>
              <w:t>主要指标</w:t>
            </w:r>
            <w:r>
              <w:rPr>
                <w:rFonts w:hint="default" w:ascii="Times New Roman" w:hAnsi="Times New Roman" w:eastAsia="宋体" w:cs="Times New Roman"/>
                <w:i w:val="0"/>
                <w:color w:val="auto"/>
                <w:kern w:val="0"/>
                <w:sz w:val="18"/>
                <w:szCs w:val="18"/>
                <w:highlight w:val="none"/>
                <w:u w:val="none"/>
                <w:lang w:val="en-US" w:eastAsia="zh-CN" w:bidi="ar"/>
              </w:rPr>
              <w:t>。</w:t>
            </w:r>
          </w:p>
        </w:tc>
      </w:tr>
      <w:tr w14:paraId="7FA613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45"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0D9B3">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1</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6A3A1">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森林植被碳储量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F7075">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万</w:t>
            </w:r>
            <w:r>
              <w:rPr>
                <w:rFonts w:hint="eastAsia" w:ascii="宋体" w:hAnsi="宋体" w:eastAsia="宋体" w:cs="宋体"/>
                <w:i w:val="0"/>
                <w:color w:val="auto"/>
                <w:kern w:val="0"/>
                <w:sz w:val="18"/>
                <w:szCs w:val="18"/>
                <w:highlight w:val="none"/>
                <w:u w:val="none"/>
                <w:lang w:val="en-US" w:eastAsia="zh-CN" w:bidi="ar"/>
              </w:rPr>
              <w:t>吨</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FC924">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532.5</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4F414">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604</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3F2A5">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根据森林蓄积量乘以乔木树种生物量含碳率（CF）平均值0.5得出（CF值引自LY/T 2253-2014《造林项目碳汇计量监测指南》附录M中表M.1乔木树种生物量含碳率参考值。</w:t>
            </w:r>
          </w:p>
        </w:tc>
      </w:tr>
      <w:tr w14:paraId="67BCF6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B7A0A">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Times New Roman" w:hAnsi="Times New Roman" w:cs="Times New Roman"/>
                <w:i w:val="0"/>
                <w:color w:val="auto"/>
                <w:kern w:val="0"/>
                <w:sz w:val="18"/>
                <w:szCs w:val="18"/>
                <w:highlight w:val="none"/>
                <w:u w:val="none"/>
                <w:lang w:val="en-US" w:eastAsia="zh-CN" w:bidi="ar"/>
              </w:rPr>
              <w:t>12</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EBEEB">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农田灌溉水有效利用系数</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B6A2">
            <w:pPr>
              <w:keepNext w:val="0"/>
              <w:keepLines w:val="0"/>
              <w:widowControl/>
              <w:suppressLineNumbers w:val="0"/>
              <w:shd w:val="clear"/>
              <w:jc w:val="center"/>
              <w:textAlignment w:val="center"/>
              <w:rPr>
                <w:rFonts w:hint="eastAsia" w:ascii="Times New Roman" w:hAnsi="Times New Roman" w:eastAsia="宋体" w:cs="Times New Roman"/>
                <w:i w:val="0"/>
                <w:color w:val="auto"/>
                <w:sz w:val="18"/>
                <w:szCs w:val="18"/>
                <w:highlight w:val="none"/>
                <w:u w:val="none"/>
                <w:lang w:val="en-US" w:eastAsia="zh-CN"/>
              </w:rPr>
            </w:pPr>
            <w:r>
              <w:rPr>
                <w:rFonts w:hint="eastAsia" w:ascii="Times New Roman" w:hAnsi="Times New Roman" w:cs="Times New Roman"/>
                <w:i w:val="0"/>
                <w:color w:val="auto"/>
                <w:sz w:val="18"/>
                <w:szCs w:val="18"/>
                <w:highlight w:val="none"/>
                <w:u w:val="none"/>
                <w:lang w:val="en-US" w:eastAsia="zh-CN"/>
              </w:rPr>
              <w:t>系数</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AA4B6">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cs="Times New Roman"/>
                <w:i w:val="0"/>
                <w:color w:val="auto"/>
                <w:kern w:val="0"/>
                <w:sz w:val="18"/>
                <w:szCs w:val="18"/>
                <w:highlight w:val="none"/>
                <w:u w:val="none"/>
                <w:lang w:val="en-US" w:eastAsia="zh-CN" w:bidi="ar"/>
              </w:rPr>
              <w:t>0.5</w:t>
            </w:r>
            <w:r>
              <w:rPr>
                <w:rFonts w:hint="eastAsia" w:ascii="Times New Roman" w:hAnsi="Times New Roman" w:cs="Times New Roman"/>
                <w:i w:val="0"/>
                <w:color w:val="auto"/>
                <w:kern w:val="0"/>
                <w:sz w:val="18"/>
                <w:szCs w:val="18"/>
                <w:highlight w:val="none"/>
                <w:u w:val="none"/>
                <w:lang w:val="en-US" w:eastAsia="zh-CN" w:bidi="ar"/>
              </w:rPr>
              <w:t>2</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BDE01">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w:t>
            </w:r>
            <w:r>
              <w:rPr>
                <w:rFonts w:hint="default" w:ascii="Times New Roman" w:hAnsi="Times New Roman" w:cs="Times New Roman"/>
                <w:i w:val="0"/>
                <w:color w:val="auto"/>
                <w:kern w:val="0"/>
                <w:sz w:val="18"/>
                <w:szCs w:val="18"/>
                <w:highlight w:val="none"/>
                <w:u w:val="none"/>
                <w:lang w:val="en-US" w:eastAsia="zh-CN" w:bidi="ar"/>
              </w:rPr>
              <w:t>0.53</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3BAFA">
            <w:pPr>
              <w:shd w:val="clear"/>
              <w:jc w:val="left"/>
              <w:rPr>
                <w:rFonts w:hint="eastAsia" w:ascii="Times New Roman" w:hAnsi="Times New Roman" w:eastAsia="宋体" w:cs="Times New Roman"/>
                <w:i w:val="0"/>
                <w:color w:val="auto"/>
                <w:sz w:val="18"/>
                <w:szCs w:val="18"/>
                <w:highlight w:val="none"/>
                <w:u w:val="none"/>
                <w:lang w:val="en-US" w:eastAsia="zh-CN"/>
              </w:rPr>
            </w:pPr>
            <w:r>
              <w:rPr>
                <w:rFonts w:hint="default" w:ascii="Times New Roman" w:hAnsi="Times New Roman" w:eastAsia="宋体" w:cs="Times New Roman"/>
                <w:i w:val="0"/>
                <w:color w:val="auto"/>
                <w:kern w:val="0"/>
                <w:sz w:val="18"/>
                <w:szCs w:val="18"/>
                <w:highlight w:val="none"/>
                <w:u w:val="none"/>
                <w:lang w:val="en-US" w:eastAsia="zh-CN" w:bidi="ar"/>
              </w:rPr>
              <w:t>源于《</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“十四五”水</w:t>
            </w:r>
            <w:r>
              <w:rPr>
                <w:rFonts w:hint="eastAsia" w:ascii="Times New Roman" w:hAnsi="Times New Roman" w:cs="Times New Roman"/>
                <w:i w:val="0"/>
                <w:color w:val="auto"/>
                <w:kern w:val="0"/>
                <w:sz w:val="18"/>
                <w:szCs w:val="18"/>
                <w:highlight w:val="none"/>
                <w:u w:val="none"/>
                <w:lang w:val="en-US" w:eastAsia="zh-CN" w:bidi="ar"/>
              </w:rPr>
              <w:t>利发展</w:t>
            </w:r>
            <w:r>
              <w:rPr>
                <w:rFonts w:hint="default" w:ascii="Times New Roman" w:hAnsi="Times New Roman" w:eastAsia="宋体" w:cs="Times New Roman"/>
                <w:i w:val="0"/>
                <w:color w:val="auto"/>
                <w:kern w:val="0"/>
                <w:sz w:val="18"/>
                <w:szCs w:val="18"/>
                <w:highlight w:val="none"/>
                <w:u w:val="none"/>
                <w:lang w:val="en-US" w:eastAsia="zh-CN" w:bidi="ar"/>
              </w:rPr>
              <w:t>规划报告》</w:t>
            </w:r>
            <w:r>
              <w:rPr>
                <w:rFonts w:hint="eastAsia" w:ascii="Times New Roman" w:hAnsi="Times New Roman" w:cs="Times New Roman"/>
                <w:i w:val="0"/>
                <w:color w:val="auto"/>
                <w:kern w:val="0"/>
                <w:sz w:val="18"/>
                <w:szCs w:val="18"/>
                <w:highlight w:val="none"/>
                <w:u w:val="none"/>
                <w:lang w:val="en-US" w:eastAsia="zh-CN" w:bidi="ar"/>
              </w:rPr>
              <w:t>规划主要指标及2.3主要目标实现情况</w:t>
            </w:r>
            <w:r>
              <w:rPr>
                <w:rFonts w:hint="default" w:ascii="Times New Roman" w:hAnsi="Times New Roman" w:eastAsia="宋体" w:cs="Times New Roman"/>
                <w:i w:val="0"/>
                <w:color w:val="auto"/>
                <w:kern w:val="0"/>
                <w:sz w:val="18"/>
                <w:szCs w:val="18"/>
                <w:highlight w:val="none"/>
                <w:u w:val="none"/>
                <w:lang w:val="en-US" w:eastAsia="zh-CN" w:bidi="ar"/>
              </w:rPr>
              <w:t>。</w:t>
            </w:r>
          </w:p>
        </w:tc>
      </w:tr>
      <w:tr w14:paraId="0AAD5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72"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C7F24">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3</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824EA">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新增</w:t>
            </w:r>
            <w:r>
              <w:rPr>
                <w:rFonts w:hint="default" w:ascii="Times New Roman" w:hAnsi="Times New Roman" w:eastAsia="宋体" w:cs="Times New Roman"/>
                <w:i w:val="0"/>
                <w:color w:val="auto"/>
                <w:kern w:val="0"/>
                <w:sz w:val="18"/>
                <w:szCs w:val="18"/>
                <w:highlight w:val="none"/>
                <w:u w:val="none"/>
                <w:lang w:val="en-US" w:eastAsia="zh-CN" w:bidi="ar"/>
              </w:rPr>
              <w:t>高标准农田</w:t>
            </w:r>
            <w:r>
              <w:rPr>
                <w:rFonts w:hint="eastAsia" w:ascii="Times New Roman" w:hAnsi="Times New Roman" w:cs="Times New Roman"/>
                <w:i w:val="0"/>
                <w:color w:val="auto"/>
                <w:kern w:val="0"/>
                <w:sz w:val="18"/>
                <w:szCs w:val="18"/>
                <w:highlight w:val="none"/>
                <w:u w:val="none"/>
                <w:lang w:val="en-US" w:eastAsia="zh-CN" w:bidi="ar"/>
              </w:rPr>
              <w:t>面积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F7E46">
            <w:pPr>
              <w:keepNext w:val="0"/>
              <w:keepLines w:val="0"/>
              <w:widowControl/>
              <w:suppressLineNumbers w:val="0"/>
              <w:shd w:val="clear"/>
              <w:jc w:val="center"/>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万亩</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8C90F">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8.6</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8F4AF">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18"/>
                <w:szCs w:val="18"/>
                <w:highlight w:val="none"/>
                <w:u w:val="none"/>
                <w:lang w:val="en-US" w:eastAsia="zh-CN" w:bidi="ar"/>
              </w:rPr>
            </w:pPr>
            <w:r>
              <w:rPr>
                <w:rFonts w:hint="eastAsia" w:ascii="Times New Roman" w:hAnsi="Times New Roman" w:cs="Times New Roman"/>
                <w:i w:val="0"/>
                <w:color w:val="auto"/>
                <w:kern w:val="0"/>
                <w:sz w:val="18"/>
                <w:szCs w:val="18"/>
                <w:highlight w:val="none"/>
                <w:u w:val="none"/>
                <w:lang w:val="en-US" w:eastAsia="zh-CN" w:bidi="ar"/>
              </w:rPr>
              <w:t>2.5</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3FC1">
            <w:pPr>
              <w:keepNext w:val="0"/>
              <w:keepLines w:val="0"/>
              <w:widowControl/>
              <w:suppressLineNumbers w:val="0"/>
              <w:shd w:val="clear"/>
              <w:jc w:val="left"/>
              <w:textAlignment w:val="center"/>
              <w:rPr>
                <w:rFonts w:hint="eastAsia" w:ascii="宋体" w:hAnsi="宋体" w:eastAsia="宋体" w:cs="宋体"/>
                <w:i w:val="0"/>
                <w:color w:val="auto"/>
                <w:kern w:val="0"/>
                <w:sz w:val="18"/>
                <w:szCs w:val="18"/>
                <w:highlight w:val="none"/>
                <w:u w:val="none"/>
                <w:lang w:val="en-US" w:eastAsia="zh-CN" w:bidi="ar"/>
              </w:rPr>
            </w:pPr>
            <w:r>
              <w:rPr>
                <w:rFonts w:hint="eastAsia" w:ascii="宋体" w:hAnsi="宋体" w:eastAsia="宋体" w:cs="宋体"/>
                <w:i w:val="0"/>
                <w:color w:val="auto"/>
                <w:kern w:val="0"/>
                <w:sz w:val="18"/>
                <w:szCs w:val="18"/>
                <w:highlight w:val="none"/>
                <w:u w:val="none"/>
                <w:lang w:val="en-US" w:eastAsia="zh-CN" w:bidi="ar"/>
              </w:rPr>
              <w:t>根据《</w:t>
            </w:r>
            <w:r>
              <w:rPr>
                <w:rFonts w:hint="eastAsia" w:ascii="宋体" w:hAnsi="宋体" w:cs="宋体"/>
                <w:i w:val="0"/>
                <w:color w:val="auto"/>
                <w:kern w:val="0"/>
                <w:sz w:val="18"/>
                <w:szCs w:val="18"/>
                <w:highlight w:val="none"/>
                <w:u w:val="none"/>
                <w:lang w:val="en-US" w:eastAsia="zh-CN" w:bidi="ar"/>
              </w:rPr>
              <w:t>龙南市</w:t>
            </w:r>
            <w:r>
              <w:rPr>
                <w:rFonts w:hint="eastAsia" w:ascii="宋体" w:hAnsi="宋体" w:eastAsia="宋体" w:cs="宋体"/>
                <w:i w:val="0"/>
                <w:color w:val="auto"/>
                <w:kern w:val="0"/>
                <w:sz w:val="18"/>
                <w:szCs w:val="18"/>
                <w:highlight w:val="none"/>
                <w:u w:val="none"/>
                <w:lang w:val="en-US" w:eastAsia="zh-CN" w:bidi="ar"/>
              </w:rPr>
              <w:t>“十四五”</w:t>
            </w:r>
            <w:r>
              <w:rPr>
                <w:rFonts w:hint="eastAsia" w:ascii="宋体" w:hAnsi="宋体" w:cs="宋体"/>
                <w:i w:val="0"/>
                <w:color w:val="auto"/>
                <w:kern w:val="0"/>
                <w:sz w:val="18"/>
                <w:szCs w:val="18"/>
                <w:highlight w:val="none"/>
                <w:u w:val="none"/>
                <w:lang w:val="en-US" w:eastAsia="zh-CN" w:bidi="ar"/>
              </w:rPr>
              <w:t>时期</w:t>
            </w:r>
            <w:r>
              <w:rPr>
                <w:rFonts w:hint="eastAsia" w:ascii="宋体" w:hAnsi="宋体" w:eastAsia="宋体" w:cs="宋体"/>
                <w:i w:val="0"/>
                <w:color w:val="auto"/>
                <w:kern w:val="0"/>
                <w:sz w:val="18"/>
                <w:szCs w:val="18"/>
                <w:highlight w:val="none"/>
                <w:u w:val="none"/>
                <w:lang w:val="en-US" w:eastAsia="zh-CN" w:bidi="ar"/>
              </w:rPr>
              <w:t>现代</w:t>
            </w:r>
            <w:r>
              <w:rPr>
                <w:rFonts w:hint="eastAsia" w:ascii="宋体" w:hAnsi="宋体" w:cs="宋体"/>
                <w:i w:val="0"/>
                <w:color w:val="auto"/>
                <w:kern w:val="0"/>
                <w:sz w:val="18"/>
                <w:szCs w:val="18"/>
                <w:highlight w:val="none"/>
                <w:u w:val="none"/>
                <w:lang w:val="en-US" w:eastAsia="zh-CN" w:bidi="ar"/>
              </w:rPr>
              <w:t>农业发展</w:t>
            </w:r>
            <w:r>
              <w:rPr>
                <w:rFonts w:hint="eastAsia" w:ascii="宋体" w:hAnsi="宋体" w:eastAsia="宋体" w:cs="宋体"/>
                <w:i w:val="0"/>
                <w:color w:val="auto"/>
                <w:kern w:val="0"/>
                <w:sz w:val="18"/>
                <w:szCs w:val="18"/>
                <w:highlight w:val="none"/>
                <w:u w:val="none"/>
                <w:lang w:val="en-US" w:eastAsia="zh-CN" w:bidi="ar"/>
              </w:rPr>
              <w:t>规划》</w:t>
            </w:r>
            <w:r>
              <w:rPr>
                <w:rFonts w:hint="eastAsia" w:ascii="宋体" w:hAnsi="宋体" w:cs="宋体"/>
                <w:i w:val="0"/>
                <w:color w:val="auto"/>
                <w:kern w:val="0"/>
                <w:sz w:val="18"/>
                <w:szCs w:val="18"/>
                <w:highlight w:val="none"/>
                <w:u w:val="none"/>
                <w:lang w:val="en-US" w:eastAsia="zh-CN" w:bidi="ar"/>
              </w:rPr>
              <w:t>及《龙南市2021年换届政府工作报告》</w:t>
            </w:r>
          </w:p>
        </w:tc>
      </w:tr>
      <w:tr w14:paraId="23583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D9032">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4</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EB3A4">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省级生态园林镇占比</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A8B54">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9BF79">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6B438">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40</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B79D2">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目标值落实省、市级规划指标。</w:t>
            </w:r>
          </w:p>
        </w:tc>
      </w:tr>
      <w:tr w14:paraId="0EFC9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0B50">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5</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24D28">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矿山恢复治理面积</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D9D5C">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公顷</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27214">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default" w:ascii="Times New Roman" w:hAnsi="Times New Roman" w:eastAsia="宋体" w:cs="Times New Roman"/>
                <w:i w:val="0"/>
                <w:color w:val="auto"/>
                <w:kern w:val="0"/>
                <w:sz w:val="18"/>
                <w:szCs w:val="18"/>
                <w:highlight w:val="none"/>
                <w:u w:val="none"/>
                <w:lang w:val="en-US" w:eastAsia="zh-CN" w:bidi="ar"/>
              </w:rPr>
              <w:t>8</w:t>
            </w:r>
            <w:r>
              <w:rPr>
                <w:rFonts w:hint="eastAsia" w:ascii="Times New Roman" w:hAnsi="Times New Roman" w:cs="Times New Roman"/>
                <w:i w:val="0"/>
                <w:color w:val="auto"/>
                <w:kern w:val="0"/>
                <w:sz w:val="18"/>
                <w:szCs w:val="18"/>
                <w:highlight w:val="none"/>
                <w:u w:val="none"/>
                <w:lang w:val="en-US" w:eastAsia="zh-CN" w:bidi="ar"/>
              </w:rPr>
              <w:t>84</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2F69A">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66.44</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F2FBC">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基期值根据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和赣州市自然资源局生态修复科提供资料；目标值根据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自然资源局提供的历史遗留矿山图斑核查三上成果数据。</w:t>
            </w:r>
          </w:p>
        </w:tc>
      </w:tr>
      <w:tr w14:paraId="0BA50C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trPr>
        <w:tc>
          <w:tcPr>
            <w:tcW w:w="4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4B0CF3">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1</w:t>
            </w:r>
            <w:r>
              <w:rPr>
                <w:rFonts w:hint="eastAsia" w:ascii="Times New Roman" w:hAnsi="Times New Roman" w:cs="Times New Roman"/>
                <w:i w:val="0"/>
                <w:color w:val="auto"/>
                <w:kern w:val="0"/>
                <w:sz w:val="18"/>
                <w:szCs w:val="18"/>
                <w:highlight w:val="none"/>
                <w:u w:val="none"/>
                <w:lang w:val="en-US" w:eastAsia="zh-CN" w:bidi="ar"/>
              </w:rPr>
              <w:t>6</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2F299">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eastAsia="宋体" w:cs="宋体"/>
                <w:i w:val="0"/>
                <w:color w:val="auto"/>
                <w:kern w:val="0"/>
                <w:sz w:val="18"/>
                <w:szCs w:val="18"/>
                <w:highlight w:val="none"/>
                <w:u w:val="none"/>
                <w:lang w:val="en-US" w:eastAsia="zh-CN" w:bidi="ar"/>
              </w:rPr>
              <w:t>废弃矿山治理数量</w:t>
            </w:r>
          </w:p>
        </w:tc>
        <w:tc>
          <w:tcPr>
            <w:tcW w:w="9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016CB">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rPr>
            </w:pPr>
            <w:r>
              <w:rPr>
                <w:rFonts w:hint="eastAsia" w:ascii="宋体" w:hAnsi="宋体" w:cs="宋体"/>
                <w:i w:val="0"/>
                <w:color w:val="auto"/>
                <w:kern w:val="0"/>
                <w:sz w:val="18"/>
                <w:szCs w:val="18"/>
                <w:highlight w:val="none"/>
                <w:u w:val="none"/>
                <w:lang w:val="en-US" w:eastAsia="zh-CN" w:bidi="ar"/>
              </w:rPr>
              <w:t>处</w:t>
            </w:r>
          </w:p>
        </w:tc>
        <w:tc>
          <w:tcPr>
            <w:tcW w:w="8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F3AF6">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28</w:t>
            </w:r>
          </w:p>
        </w:tc>
        <w:tc>
          <w:tcPr>
            <w:tcW w:w="77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E9C6D">
            <w:pPr>
              <w:keepNext w:val="0"/>
              <w:keepLines w:val="0"/>
              <w:widowControl/>
              <w:suppressLineNumbers w:val="0"/>
              <w:shd w:val="clear"/>
              <w:jc w:val="center"/>
              <w:textAlignment w:val="center"/>
              <w:rPr>
                <w:rFonts w:hint="default" w:ascii="Times New Roman" w:hAnsi="Times New Roman" w:eastAsia="宋体" w:cs="Times New Roman"/>
                <w:i w:val="0"/>
                <w:color w:val="auto"/>
                <w:sz w:val="18"/>
                <w:szCs w:val="18"/>
                <w:highlight w:val="none"/>
                <w:u w:val="none"/>
                <w:lang w:val="en-US"/>
              </w:rPr>
            </w:pPr>
            <w:r>
              <w:rPr>
                <w:rFonts w:hint="eastAsia" w:ascii="Times New Roman" w:hAnsi="Times New Roman" w:cs="Times New Roman"/>
                <w:i w:val="0"/>
                <w:color w:val="auto"/>
                <w:kern w:val="0"/>
                <w:sz w:val="18"/>
                <w:szCs w:val="18"/>
                <w:highlight w:val="none"/>
                <w:u w:val="none"/>
                <w:lang w:val="en-US" w:eastAsia="zh-CN" w:bidi="ar"/>
              </w:rPr>
              <w:t>24</w:t>
            </w:r>
          </w:p>
        </w:tc>
        <w:tc>
          <w:tcPr>
            <w:tcW w:w="4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9A31F">
            <w:pPr>
              <w:keepNext w:val="0"/>
              <w:keepLines w:val="0"/>
              <w:widowControl/>
              <w:suppressLineNumbers w:val="0"/>
              <w:shd w:val="clear"/>
              <w:jc w:val="left"/>
              <w:textAlignment w:val="center"/>
              <w:rPr>
                <w:rFonts w:hint="default" w:ascii="Times New Roman" w:hAnsi="Times New Roman" w:eastAsia="宋体" w:cs="Times New Roman"/>
                <w:i w:val="0"/>
                <w:color w:val="auto"/>
                <w:sz w:val="18"/>
                <w:szCs w:val="18"/>
                <w:highlight w:val="none"/>
                <w:u w:val="none"/>
              </w:rPr>
            </w:pPr>
            <w:r>
              <w:rPr>
                <w:rFonts w:hint="default" w:ascii="Times New Roman" w:hAnsi="Times New Roman" w:eastAsia="宋体" w:cs="Times New Roman"/>
                <w:i w:val="0"/>
                <w:color w:val="auto"/>
                <w:kern w:val="0"/>
                <w:sz w:val="18"/>
                <w:szCs w:val="18"/>
                <w:highlight w:val="none"/>
                <w:u w:val="none"/>
                <w:lang w:val="en-US" w:eastAsia="zh-CN" w:bidi="ar"/>
              </w:rPr>
              <w:t>基期值根据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和赣州市自然资源局生态修复科提供资料；目标值根据</w:t>
            </w:r>
            <w:r>
              <w:rPr>
                <w:rFonts w:hint="eastAsia" w:ascii="Times New Roman" w:hAnsi="Times New Roman" w:cs="Times New Roman"/>
                <w:i w:val="0"/>
                <w:color w:val="auto"/>
                <w:kern w:val="0"/>
                <w:sz w:val="18"/>
                <w:szCs w:val="18"/>
                <w:highlight w:val="none"/>
                <w:u w:val="none"/>
                <w:lang w:val="en-US" w:eastAsia="zh-CN" w:bidi="ar"/>
              </w:rPr>
              <w:t>龙南市</w:t>
            </w:r>
            <w:r>
              <w:rPr>
                <w:rFonts w:hint="default" w:ascii="Times New Roman" w:hAnsi="Times New Roman" w:eastAsia="宋体" w:cs="Times New Roman"/>
                <w:i w:val="0"/>
                <w:color w:val="auto"/>
                <w:kern w:val="0"/>
                <w:sz w:val="18"/>
                <w:szCs w:val="18"/>
                <w:highlight w:val="none"/>
                <w:u w:val="none"/>
                <w:lang w:val="en-US" w:eastAsia="zh-CN" w:bidi="ar"/>
              </w:rPr>
              <w:t>自然资源局提供的历史遗留矿山图斑核查三上成果数据。</w:t>
            </w:r>
          </w:p>
        </w:tc>
      </w:tr>
    </w:tbl>
    <w:p w14:paraId="4F4F1E16">
      <w:pPr>
        <w:keepNext w:val="0"/>
        <w:keepLines w:val="0"/>
        <w:pageBreakBefore w:val="0"/>
        <w:widowControl w:val="0"/>
        <w:shd w:val="clear"/>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kern w:val="2"/>
          <w:sz w:val="21"/>
          <w:szCs w:val="21"/>
          <w:highlight w:val="none"/>
          <w:lang w:val="en-US" w:eastAsia="zh-CN"/>
        </w:rPr>
      </w:pPr>
    </w:p>
    <w:p w14:paraId="59202AF2">
      <w:pPr>
        <w:keepNext w:val="0"/>
        <w:keepLines w:val="0"/>
        <w:pageBreakBefore w:val="0"/>
        <w:widowControl w:val="0"/>
        <w:shd w:val="clear"/>
        <w:kinsoku/>
        <w:wordWrap/>
        <w:overflowPunct/>
        <w:topLinePunct w:val="0"/>
        <w:autoSpaceDE/>
        <w:autoSpaceDN/>
        <w:bidi w:val="0"/>
        <w:adjustRightInd/>
        <w:snapToGrid/>
        <w:spacing w:line="240" w:lineRule="atLeast"/>
        <w:ind w:firstLine="0" w:firstLineChars="0"/>
        <w:textAlignment w:val="auto"/>
        <w:rPr>
          <w:rFonts w:hint="eastAsia" w:ascii="Times New Roman" w:hAnsi="Times New Roman" w:eastAsia="宋体" w:cs="Times New Roman"/>
          <w:color w:val="auto"/>
          <w:kern w:val="2"/>
          <w:sz w:val="21"/>
          <w:szCs w:val="21"/>
          <w:highlight w:val="none"/>
          <w:lang w:val="en-US" w:eastAsia="zh-CN"/>
        </w:rPr>
      </w:pPr>
    </w:p>
    <w:p w14:paraId="1DC8F28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p>
    <w:bookmarkEnd w:id="25"/>
    <w:p w14:paraId="41DD4F23">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120" w:lineRule="exact"/>
        <w:ind w:firstLine="640" w:firstLineChars="200"/>
        <w:jc w:val="both"/>
        <w:textAlignment w:val="auto"/>
        <w:outlineLvl w:val="9"/>
        <w:rPr>
          <w:rFonts w:hint="eastAsia" w:ascii="Times New Roman" w:hAnsi="Times New Roman" w:eastAsia="仿宋"/>
          <w:b w:val="0"/>
          <w:color w:val="auto"/>
          <w:sz w:val="32"/>
          <w:highlight w:val="none"/>
          <w:lang w:val="en-US" w:eastAsia="zh-CN"/>
        </w:rPr>
      </w:pPr>
    </w:p>
    <w:p w14:paraId="4B220727">
      <w:pPr>
        <w:pStyle w:val="3"/>
        <w:keepNext w:val="0"/>
        <w:keepLines w:val="0"/>
        <w:pageBreakBefore w:val="0"/>
        <w:widowControl w:val="0"/>
        <w:shd w:val="clear"/>
        <w:kinsoku/>
        <w:wordWrap/>
        <w:overflowPunct/>
        <w:topLinePunct w:val="0"/>
        <w:autoSpaceDE/>
        <w:autoSpaceDN/>
        <w:bidi w:val="0"/>
        <w:adjustRightInd w:val="0"/>
        <w:snapToGrid w:val="0"/>
        <w:spacing w:line="120" w:lineRule="exact"/>
        <w:ind w:firstLine="672" w:firstLineChars="200"/>
        <w:textAlignment w:val="auto"/>
        <w:rPr>
          <w:rFonts w:hint="eastAsia" w:ascii="Times New Roman" w:hAnsi="Times New Roman" w:eastAsia="仿宋"/>
          <w:color w:val="auto"/>
          <w:sz w:val="32"/>
          <w:highlight w:val="none"/>
          <w:lang w:val="en-US" w:eastAsia="zh-CN"/>
        </w:rPr>
        <w:sectPr>
          <w:headerReference r:id="rId4" w:type="default"/>
          <w:pgSz w:w="11906" w:h="16838"/>
          <w:pgMar w:top="1440" w:right="1800" w:bottom="1440" w:left="1800" w:header="851" w:footer="992" w:gutter="0"/>
          <w:cols w:space="720" w:num="1"/>
          <w:rtlGutter w:val="0"/>
          <w:docGrid w:linePitch="312" w:charSpace="0"/>
        </w:sectPr>
      </w:pPr>
    </w:p>
    <w:p w14:paraId="63BA3E2D">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27" w:name="_Toc22311_WPSOffice_Level1"/>
      <w:bookmarkStart w:id="28" w:name="_Toc790"/>
      <w:r>
        <w:rPr>
          <w:rFonts w:hint="eastAsia"/>
          <w:b/>
          <w:bCs/>
          <w:color w:val="auto"/>
          <w:sz w:val="36"/>
          <w:szCs w:val="36"/>
          <w:highlight w:val="none"/>
          <w:lang w:val="en-US" w:eastAsia="zh-CN"/>
        </w:rPr>
        <w:t>五、</w:t>
      </w:r>
      <w:bookmarkEnd w:id="27"/>
      <w:r>
        <w:rPr>
          <w:rFonts w:hint="eastAsia"/>
          <w:b/>
          <w:bCs/>
          <w:color w:val="auto"/>
          <w:sz w:val="36"/>
          <w:szCs w:val="36"/>
          <w:highlight w:val="none"/>
          <w:lang w:val="en-US" w:eastAsia="zh-CN"/>
        </w:rPr>
        <w:t>生态修复分区</w:t>
      </w:r>
      <w:bookmarkEnd w:id="28"/>
    </w:p>
    <w:p w14:paraId="33AD2554">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29" w:name="_Toc74146675"/>
      <w:bookmarkStart w:id="30" w:name="_Toc19099"/>
      <w:bookmarkStart w:id="31" w:name="_Toc30778"/>
      <w:r>
        <w:rPr>
          <w:rFonts w:hint="eastAsia" w:ascii="Times New Roman" w:hAnsi="Times New Roman" w:eastAsia="仿宋" w:cs="Times New Roman"/>
          <w:b/>
          <w:bCs/>
          <w:color w:val="auto"/>
          <w:sz w:val="32"/>
          <w:szCs w:val="32"/>
          <w:highlight w:val="none"/>
          <w:lang w:val="en-US" w:eastAsia="zh-CN"/>
        </w:rPr>
        <w:t>（一）</w:t>
      </w:r>
      <w:r>
        <w:rPr>
          <w:rFonts w:hint="eastAsia" w:ascii="Times New Roman" w:hAnsi="Times New Roman" w:eastAsia="仿宋" w:cs="Times New Roman"/>
          <w:b/>
          <w:bCs/>
          <w:color w:val="auto"/>
          <w:sz w:val="32"/>
          <w:szCs w:val="32"/>
          <w:highlight w:val="none"/>
          <w:lang w:val="en-US" w:eastAsia="zh-CN"/>
        </w:rPr>
        <w:fldChar w:fldCharType="begin"/>
      </w:r>
      <w:r>
        <w:rPr>
          <w:rFonts w:hint="eastAsia" w:ascii="Times New Roman" w:hAnsi="Times New Roman" w:eastAsia="仿宋" w:cs="Times New Roman"/>
          <w:b/>
          <w:bCs/>
          <w:color w:val="auto"/>
          <w:sz w:val="32"/>
          <w:szCs w:val="32"/>
          <w:highlight w:val="none"/>
          <w:lang w:val="en-US" w:eastAsia="zh-CN"/>
        </w:rPr>
        <w:instrText xml:space="preserve"> HYPERLINK \l "_Toc7554" </w:instrText>
      </w:r>
      <w:r>
        <w:rPr>
          <w:rFonts w:hint="eastAsia" w:ascii="Times New Roman" w:hAnsi="Times New Roman" w:eastAsia="仿宋" w:cs="Times New Roman"/>
          <w:b/>
          <w:bCs/>
          <w:color w:val="auto"/>
          <w:sz w:val="32"/>
          <w:szCs w:val="32"/>
          <w:highlight w:val="none"/>
          <w:lang w:val="en-US" w:eastAsia="zh-CN"/>
        </w:rPr>
        <w:fldChar w:fldCharType="separate"/>
      </w:r>
      <w:r>
        <w:rPr>
          <w:rFonts w:hint="eastAsia" w:ascii="Times New Roman" w:hAnsi="Times New Roman" w:eastAsia="仿宋" w:cs="Times New Roman"/>
          <w:b/>
          <w:bCs/>
          <w:color w:val="auto"/>
          <w:sz w:val="32"/>
          <w:szCs w:val="32"/>
          <w:highlight w:val="none"/>
          <w:lang w:val="en-US" w:eastAsia="zh-CN"/>
        </w:rPr>
        <w:t>分区划分原则</w:t>
      </w:r>
      <w:bookmarkEnd w:id="29"/>
      <w:r>
        <w:rPr>
          <w:rFonts w:hint="eastAsia" w:ascii="Times New Roman" w:hAnsi="Times New Roman" w:eastAsia="仿宋" w:cs="Times New Roman"/>
          <w:b/>
          <w:bCs/>
          <w:color w:val="auto"/>
          <w:sz w:val="32"/>
          <w:szCs w:val="32"/>
          <w:highlight w:val="none"/>
          <w:lang w:val="en-US" w:eastAsia="zh-CN"/>
        </w:rPr>
        <w:fldChar w:fldCharType="end"/>
      </w:r>
      <w:bookmarkEnd w:id="30"/>
      <w:bookmarkEnd w:id="31"/>
    </w:p>
    <w:p w14:paraId="0EFF865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龙南市国土空间生态修复分区主要目的是为了更好地“因地制宜，分区施策”开展全市生态修复工作，更好地按照山水林田湖草一体化修复治理的思路，统筹协调好生态、农业、城镇空间的关系，服务于全市生态文明建设大局。分区划分主要按照以下几个原则开展：</w:t>
      </w:r>
    </w:p>
    <w:p w14:paraId="24C980C3">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①分区划定应全覆盖、不交叉。</w:t>
      </w:r>
      <w:r>
        <w:rPr>
          <w:rFonts w:hint="eastAsia" w:ascii="Times New Roman" w:hAnsi="Times New Roman" w:eastAsia="仿宋" w:cs="Times New Roman"/>
          <w:color w:val="auto"/>
          <w:kern w:val="2"/>
          <w:sz w:val="32"/>
          <w:szCs w:val="28"/>
          <w:highlight w:val="none"/>
          <w:lang w:val="en-US" w:eastAsia="zh-CN"/>
        </w:rPr>
        <w:t>在龙南市国土空间规划确定的生态安全格局基础上，突出自然地理和生态系统的完整性、连通性，以重点流域、区域等为基础单元，进行国土空间生态修复分区，并针对突出生态问题明确各分区生态修复的主攻方向、修复策略。分区划定应全覆盖、不交叉。</w:t>
      </w:r>
    </w:p>
    <w:p w14:paraId="0BD11EDA">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②保持自然地理单元完整性。</w:t>
      </w:r>
      <w:r>
        <w:rPr>
          <w:rFonts w:hint="eastAsia" w:ascii="Times New Roman" w:hAnsi="Times New Roman" w:eastAsia="仿宋" w:cs="Times New Roman"/>
          <w:color w:val="auto"/>
          <w:kern w:val="2"/>
          <w:sz w:val="32"/>
          <w:szCs w:val="28"/>
          <w:highlight w:val="none"/>
          <w:lang w:val="en-US" w:eastAsia="zh-CN"/>
        </w:rPr>
        <w:t>尊重自然、顺应自然、保护自然是生态修复的主要原则，山水林田湖草是构成自然地理单元的主要生态要素，山水林田湖草生命共同体理念是开展生态修复主要理论基础，保持自然地理单元的完整性，保证了生态修复工作的整体性、生态要素的完整性、修复实施对象的系统性，对自然单元生态的维护和生态功能的保障有着重要作用。</w:t>
      </w:r>
    </w:p>
    <w:p w14:paraId="5C4D710B">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③问题导向，因地制宜。</w:t>
      </w:r>
      <w:r>
        <w:rPr>
          <w:rFonts w:hint="eastAsia" w:ascii="Times New Roman" w:hAnsi="Times New Roman" w:eastAsia="仿宋" w:cs="Times New Roman"/>
          <w:color w:val="auto"/>
          <w:kern w:val="2"/>
          <w:sz w:val="32"/>
          <w:szCs w:val="28"/>
          <w:highlight w:val="none"/>
          <w:lang w:val="en-US" w:eastAsia="zh-CN"/>
        </w:rPr>
        <w:t>分区的目的主要是聚焦龙南市的主要生态问题，明确生态修复主攻方向，制定分区内的主要修复任务，因此各个分区之间应该有明确的问题导向，根据各个分区的区域特点，因地制宜，明晰各个分区的主要生态问题，合理布设各分区的主要修复方向，确保修复分区具有针对性。</w:t>
      </w:r>
    </w:p>
    <w:p w14:paraId="71C05EA2">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④经济社会条件一致性原则。</w:t>
      </w:r>
      <w:r>
        <w:rPr>
          <w:rFonts w:hint="eastAsia" w:ascii="Times New Roman" w:hAnsi="Times New Roman" w:eastAsia="仿宋" w:cs="Times New Roman"/>
          <w:color w:val="auto"/>
          <w:kern w:val="2"/>
          <w:sz w:val="32"/>
          <w:szCs w:val="28"/>
          <w:highlight w:val="none"/>
          <w:lang w:val="en-US" w:eastAsia="zh-CN"/>
        </w:rPr>
        <w:t>鉴于全市社会经济条件的差异性，因此生态修复分区的划分必须结合龙南市社会经济条件，因地制宜地划分修复区，使各分区内部社会经济条件具有较高的一致性，有利于更好地保护和修复生态环境。</w:t>
      </w:r>
    </w:p>
    <w:p w14:paraId="3FF6048E">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b/>
          <w:bCs/>
          <w:color w:val="auto"/>
          <w:kern w:val="2"/>
          <w:sz w:val="32"/>
          <w:szCs w:val="28"/>
          <w:highlight w:val="none"/>
          <w:lang w:val="en-US" w:eastAsia="zh-CN"/>
        </w:rPr>
        <w:t>⑤保持分区的统筹协调性。</w:t>
      </w:r>
      <w:r>
        <w:rPr>
          <w:rFonts w:hint="eastAsia" w:ascii="Times New Roman" w:hAnsi="Times New Roman" w:eastAsia="仿宋" w:cs="Times New Roman"/>
          <w:color w:val="auto"/>
          <w:kern w:val="2"/>
          <w:sz w:val="32"/>
          <w:szCs w:val="28"/>
          <w:highlight w:val="none"/>
          <w:lang w:val="en-US" w:eastAsia="zh-CN"/>
        </w:rPr>
        <w:t>生态修复分区必须要统筹协调梅江流域上、中、下游修复单元，同时还要统筹流域河流水系左右岸关系、统筹好各个生态系统的完整性和连通性、统筹好区域内修复农林水等部门实施主体的关系，使得分区更好地服务生态保护修复。</w:t>
      </w:r>
    </w:p>
    <w:p w14:paraId="5A0D33A7">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仿宋" w:hAnsi="仿宋" w:eastAsia="仿宋" w:cs="仿宋"/>
          <w:b/>
          <w:bCs/>
          <w:color w:val="auto"/>
          <w:kern w:val="2"/>
          <w:sz w:val="32"/>
          <w:szCs w:val="28"/>
          <w:highlight w:val="none"/>
          <w:lang w:val="en-US" w:eastAsia="zh-CN"/>
        </w:rPr>
        <w:t>⑥</w:t>
      </w:r>
      <w:r>
        <w:rPr>
          <w:rFonts w:hint="eastAsia" w:ascii="Times New Roman" w:hAnsi="Times New Roman" w:eastAsia="仿宋" w:cs="Times New Roman"/>
          <w:b/>
          <w:bCs/>
          <w:color w:val="auto"/>
          <w:kern w:val="2"/>
          <w:sz w:val="32"/>
          <w:szCs w:val="28"/>
          <w:highlight w:val="none"/>
          <w:lang w:val="en-US" w:eastAsia="zh-CN"/>
        </w:rPr>
        <w:t>保持分区与行政单元的相对完整性。</w:t>
      </w:r>
      <w:r>
        <w:rPr>
          <w:rFonts w:hint="eastAsia" w:ascii="Times New Roman" w:hAnsi="Times New Roman" w:eastAsia="仿宋" w:cs="Times New Roman"/>
          <w:color w:val="auto"/>
          <w:kern w:val="2"/>
          <w:sz w:val="32"/>
          <w:szCs w:val="28"/>
          <w:highlight w:val="none"/>
          <w:lang w:val="en-US" w:eastAsia="zh-CN"/>
        </w:rPr>
        <w:t>一般不打破乡镇行政界限，便于生态修复工作的组织实施。但区域内生态系统主要问题可能又有所不同，所以要注意分区内部的特异性和综合性，坚持“以水而定，系统修复”的治理原则，依据区域内各生态系统的现状和差异性，在同一修复分区内生态修复的措施要有所区别，要求既能反映局部的、当前的和单项的特征，又能反映全面的、长远的和综合的特征。</w:t>
      </w:r>
    </w:p>
    <w:p w14:paraId="44A6FAA9">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32" w:name="_Toc32001"/>
      <w:bookmarkStart w:id="33" w:name="_Toc15262"/>
      <w:r>
        <w:rPr>
          <w:rFonts w:hint="eastAsia" w:ascii="Times New Roman" w:hAnsi="Times New Roman" w:eastAsia="仿宋" w:cs="Times New Roman"/>
          <w:b/>
          <w:bCs/>
          <w:color w:val="auto"/>
          <w:sz w:val="32"/>
          <w:szCs w:val="32"/>
          <w:highlight w:val="none"/>
          <w:lang w:val="en-US" w:eastAsia="zh-CN"/>
        </w:rPr>
        <w:fldChar w:fldCharType="begin"/>
      </w:r>
      <w:r>
        <w:rPr>
          <w:rFonts w:hint="eastAsia" w:ascii="Times New Roman" w:hAnsi="Times New Roman" w:eastAsia="仿宋" w:cs="Times New Roman"/>
          <w:b/>
          <w:bCs/>
          <w:color w:val="auto"/>
          <w:sz w:val="32"/>
          <w:szCs w:val="32"/>
          <w:highlight w:val="none"/>
          <w:lang w:val="en-US" w:eastAsia="zh-CN"/>
        </w:rPr>
        <w:instrText xml:space="preserve"> HYPERLINK \l "_Toc11246" </w:instrText>
      </w:r>
      <w:r>
        <w:rPr>
          <w:rFonts w:hint="eastAsia" w:ascii="Times New Roman" w:hAnsi="Times New Roman" w:eastAsia="仿宋" w:cs="Times New Roman"/>
          <w:b/>
          <w:bCs/>
          <w:color w:val="auto"/>
          <w:sz w:val="32"/>
          <w:szCs w:val="32"/>
          <w:highlight w:val="none"/>
          <w:lang w:val="en-US" w:eastAsia="zh-CN"/>
        </w:rPr>
        <w:fldChar w:fldCharType="separate"/>
      </w:r>
      <w:bookmarkStart w:id="34" w:name="_Toc74146676"/>
      <w:r>
        <w:rPr>
          <w:rFonts w:hint="eastAsia" w:ascii="Times New Roman" w:hAnsi="Times New Roman" w:eastAsia="仿宋" w:cs="Times New Roman"/>
          <w:b/>
          <w:bCs/>
          <w:color w:val="auto"/>
          <w:sz w:val="32"/>
          <w:szCs w:val="32"/>
          <w:highlight w:val="none"/>
          <w:lang w:val="en-US" w:eastAsia="zh-CN"/>
        </w:rPr>
        <w:t>（二）分区依据与方法</w:t>
      </w:r>
      <w:bookmarkEnd w:id="34"/>
      <w:r>
        <w:rPr>
          <w:rFonts w:hint="eastAsia" w:ascii="Times New Roman" w:hAnsi="Times New Roman" w:eastAsia="仿宋" w:cs="Times New Roman"/>
          <w:b/>
          <w:bCs/>
          <w:color w:val="auto"/>
          <w:sz w:val="32"/>
          <w:szCs w:val="32"/>
          <w:highlight w:val="none"/>
          <w:lang w:val="en-US" w:eastAsia="zh-CN"/>
        </w:rPr>
        <w:fldChar w:fldCharType="end"/>
      </w:r>
      <w:bookmarkEnd w:id="32"/>
      <w:bookmarkEnd w:id="33"/>
    </w:p>
    <w:p w14:paraId="54B381C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按照《江西省自然资源厅办公室关于开展市县级国土空间生态修复规划编制工作通知》（赣自然资办发〔2021〕67号）要求，根据上述原则确立赣州市生态修复分区的主要依据。生态修复分区以市级国土空间总体规划和市级国土空间生态修复规划确定的生态安全格局为基础。《赣州市国土空间总体规划(2021-2035年)》在生态安全格局方面：构建“四屏三区三源多廊”的生态安全格局。其中四屏：罗霄山脉、南岭一九连山脉、武夷山脉、雩山四大山系屏障；三区：水源涵养生态功能区、水土保持生态功能区、森林和生物多样性生态功能区；三源:赣江发源地、东江发源地和北江发源地；多廊:上犹江、章水、梅江、琴江、绵江、湘江、濂江、平江、桃江等生态廊道。《赣州市“十四五”国土空间生态修复规划》在生态总体格局方面：“一带三屏三源多组团”的总体格局。其中一带：南方丘陵山地带（赣州段）；三屏：罗霄山脉自然保护地生态屏障、武夷山脉自然保护地生态屏障、南岭－九连山脉自然保护地生态屏障；三源：赣江发源地、东江发源地、北江发源地；多组团：自然保护区、森林公园、风景名胜区、湿地公园、国省级重点公益林区、天然林保护区等重点生态敏感区域。在此基础上，确定了龙南市“</w:t>
      </w:r>
      <w:r>
        <w:rPr>
          <w:rFonts w:hint="eastAsia" w:ascii="Times New Roman" w:hAnsi="Times New Roman" w:eastAsia="仿宋" w:cs="Times New Roman"/>
          <w:b/>
          <w:bCs/>
          <w:color w:val="auto"/>
          <w:kern w:val="2"/>
          <w:sz w:val="32"/>
          <w:szCs w:val="28"/>
          <w:highlight w:val="none"/>
          <w:lang w:val="en-US" w:eastAsia="zh-CN"/>
        </w:rPr>
        <w:t>一屏、三网、三区</w:t>
      </w:r>
      <w:r>
        <w:rPr>
          <w:rFonts w:hint="eastAsia" w:ascii="Times New Roman" w:hAnsi="Times New Roman" w:eastAsia="仿宋" w:cs="Times New Roman"/>
          <w:color w:val="auto"/>
          <w:kern w:val="2"/>
          <w:sz w:val="32"/>
          <w:szCs w:val="28"/>
          <w:highlight w:val="none"/>
          <w:lang w:val="en-US" w:eastAsia="zh-CN"/>
        </w:rPr>
        <w:t>”的国土空间生态修复总体布局。</w:t>
      </w:r>
    </w:p>
    <w:p w14:paraId="6A095B4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在市级国土空间总体规划和市级国土空间生态修复规划确定的生态安全格局基础上，突出自然地理和生态系统的完整性、连通性，以全市主体功能区划为基础单元，同时参考全市各乡镇各村庄的边界，对生态修复分区的边界进行初步划分，修复分区的界线主要根据村庄行政界线来划定。</w:t>
      </w:r>
    </w:p>
    <w:p w14:paraId="439701F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在此基础上，进一步地综合考虑资源承载力评价和国土空间适宜性评价结果，叠加生态空间问题诊断识别、农业空间问题诊断识别、城镇空间问题诊断识别等评价结果数据，合理调整分区边界，并结合社会经济、风景名胜区、国省级重点公益林区、天然林保护区、水土流失重点防治区生态敏感区域等情况，最后将全市国土空间生态修复总体布局确定为“</w:t>
      </w:r>
      <w:r>
        <w:rPr>
          <w:rFonts w:hint="eastAsia" w:ascii="Times New Roman" w:hAnsi="Times New Roman" w:eastAsia="仿宋" w:cs="Times New Roman"/>
          <w:b w:val="0"/>
          <w:bCs w:val="0"/>
          <w:color w:val="auto"/>
          <w:kern w:val="2"/>
          <w:sz w:val="32"/>
          <w:szCs w:val="28"/>
          <w:highlight w:val="none"/>
          <w:lang w:val="en-US" w:eastAsia="zh-CN"/>
        </w:rPr>
        <w:t>一屏、三网、三区</w:t>
      </w:r>
      <w:r>
        <w:rPr>
          <w:rFonts w:hint="eastAsia" w:ascii="Times New Roman" w:hAnsi="Times New Roman" w:eastAsia="仿宋" w:cs="Times New Roman"/>
          <w:color w:val="auto"/>
          <w:kern w:val="2"/>
          <w:sz w:val="32"/>
          <w:szCs w:val="28"/>
          <w:highlight w:val="none"/>
          <w:lang w:val="en-US" w:eastAsia="zh-CN"/>
        </w:rPr>
        <w:t>”，生态修复分区划分为生态修复分区划分为赣州生态修复构建</w:t>
      </w:r>
      <w:r>
        <w:rPr>
          <w:rFonts w:hint="eastAsia" w:ascii="Times New Roman" w:hAnsi="Times New Roman" w:eastAsia="仿宋" w:cs="Times New Roman"/>
          <w:b/>
          <w:bCs/>
          <w:color w:val="auto"/>
          <w:kern w:val="2"/>
          <w:sz w:val="32"/>
          <w:szCs w:val="28"/>
          <w:highlight w:val="none"/>
          <w:lang w:val="en-US" w:eastAsia="zh-CN"/>
        </w:rPr>
        <w:t>北部濂江流域水土保持与城市工矿生态修复区、中部桃江、渥江流域矿山与农田生态修复区、南部山地丘陵水源涵养与生物多样性生态修复区</w:t>
      </w:r>
      <w:r>
        <w:rPr>
          <w:rFonts w:hint="eastAsia" w:ascii="Times New Roman" w:hAnsi="Times New Roman" w:eastAsia="仿宋" w:cs="Times New Roman"/>
          <w:color w:val="auto"/>
          <w:kern w:val="2"/>
          <w:sz w:val="32"/>
          <w:szCs w:val="28"/>
          <w:highlight w:val="none"/>
          <w:lang w:val="en-US" w:eastAsia="zh-CN"/>
        </w:rPr>
        <w:t>等三类生态修复区域，并明确了各生态修复区域的主要修复任务。</w:t>
      </w:r>
    </w:p>
    <w:p w14:paraId="19142A7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p>
    <w:p w14:paraId="64E67A30">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b w:val="0"/>
          <w:bCs/>
          <w:color w:val="auto"/>
          <w:sz w:val="32"/>
          <w:szCs w:val="32"/>
          <w:highlight w:val="none"/>
          <w:lang w:val="en-US" w:eastAsia="zh-CN"/>
        </w:rPr>
      </w:pPr>
    </w:p>
    <w:p w14:paraId="03FF4CB6">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b w:val="0"/>
          <w:bCs/>
          <w:color w:val="auto"/>
          <w:sz w:val="32"/>
          <w:szCs w:val="32"/>
          <w:highlight w:val="none"/>
          <w:lang w:val="en-US" w:eastAsia="zh-CN"/>
        </w:rPr>
        <w:sectPr>
          <w:pgSz w:w="11906" w:h="16838"/>
          <w:pgMar w:top="1440" w:right="1800" w:bottom="1440" w:left="1800" w:header="851" w:footer="992" w:gutter="0"/>
          <w:cols w:space="720" w:num="1"/>
          <w:rtlGutter w:val="0"/>
          <w:docGrid w:linePitch="312" w:charSpace="0"/>
        </w:sectPr>
      </w:pPr>
      <w:bookmarkStart w:id="35" w:name="_Toc10589_WPSOffice_Level1"/>
    </w:p>
    <w:bookmarkEnd w:id="35"/>
    <w:p w14:paraId="53108BD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36" w:name="_Toc32706"/>
      <w:r>
        <w:rPr>
          <w:rFonts w:hint="eastAsia"/>
          <w:b/>
          <w:bCs/>
          <w:color w:val="auto"/>
          <w:sz w:val="36"/>
          <w:szCs w:val="36"/>
          <w:highlight w:val="none"/>
          <w:lang w:val="en-US" w:eastAsia="zh-CN"/>
        </w:rPr>
        <w:t>六、重点任务安排依据与说明</w:t>
      </w:r>
      <w:bookmarkEnd w:id="36"/>
    </w:p>
    <w:p w14:paraId="4CAE2FF3">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37" w:name="_Toc19250"/>
      <w:r>
        <w:rPr>
          <w:rFonts w:hint="eastAsia" w:ascii="Times New Roman" w:hAnsi="Times New Roman" w:eastAsia="仿宋" w:cs="Times New Roman"/>
          <w:b/>
          <w:bCs/>
          <w:color w:val="auto"/>
          <w:sz w:val="32"/>
          <w:szCs w:val="32"/>
          <w:highlight w:val="none"/>
          <w:lang w:val="en-US" w:eastAsia="zh-CN"/>
        </w:rPr>
        <w:t>（一）重点任务安排依据</w:t>
      </w:r>
      <w:bookmarkEnd w:id="37"/>
    </w:p>
    <w:p w14:paraId="64C385F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按照自然资源厅《市县国土空间生态修复规划编制指南(试行)》2021年7月文件要求：</w:t>
      </w:r>
    </w:p>
    <w:p w14:paraId="762B63B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贯彻党中央、国务院重大决策部署和各级党委和政府要求，衔接区城发展战略，落实国土空间规划安全保护格局，衔接《全国重要生态系统保护和修复重大工程总体规划(2021-2035)》、《江西省“十四五”国土空间生态修复规划》、《赣州市“十四五”国土空间生态修复规划》明确的生态修复任务。</w:t>
      </w:r>
    </w:p>
    <w:p w14:paraId="1DD80E3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2.基于生态系统演替规律和内在机理，结合气候变化和人类活动影响，全面摸清区域自然条件和生态状况，识别生态、农业、城镇等三类空间主要生态问题，预判重大生态风险。</w:t>
      </w:r>
    </w:p>
    <w:p w14:paraId="347ABD1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3.谋划国土空间生态修复总体布局，稳步推进国土空间全城生态保护修复，实行山水林田湖草整体保护、系统修复、综合治理。</w:t>
      </w:r>
    </w:p>
    <w:p w14:paraId="41EF488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4.针对生态、农业、城镇空间存在的突出生态问题，明确国土空间生态修复目标任务，确定生态修复重点区域和重点工程，研判生态修复产品及其价值，筑牢生态安全屏障，增强生态系统固碳能力，促进国土空间格局优化，提供优质生态产品，并与环境污染治理做好统筹衔接。</w:t>
      </w:r>
    </w:p>
    <w:p w14:paraId="751012E5">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38" w:name="_Toc6398"/>
      <w:r>
        <w:rPr>
          <w:rFonts w:hint="eastAsia" w:ascii="Times New Roman" w:hAnsi="Times New Roman" w:eastAsia="仿宋" w:cs="Times New Roman"/>
          <w:b/>
          <w:bCs/>
          <w:color w:val="auto"/>
          <w:sz w:val="32"/>
          <w:szCs w:val="32"/>
          <w:highlight w:val="none"/>
          <w:lang w:val="en-US" w:eastAsia="zh-CN"/>
        </w:rPr>
        <w:t>（二）重点任务安排说明</w:t>
      </w:r>
      <w:bookmarkEnd w:id="38"/>
    </w:p>
    <w:p w14:paraId="1D00D4E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bookmarkStart w:id="39" w:name="_Toc30092_WPSOffice_Level1"/>
      <w:r>
        <w:rPr>
          <w:rFonts w:hint="eastAsia" w:ascii="Times New Roman" w:hAnsi="Times New Roman" w:eastAsia="仿宋" w:cs="Times New Roman"/>
          <w:color w:val="auto"/>
          <w:kern w:val="2"/>
          <w:sz w:val="32"/>
          <w:szCs w:val="28"/>
          <w:highlight w:val="none"/>
          <w:lang w:val="en-US" w:eastAsia="zh-CN"/>
        </w:rPr>
        <w:t>按照要求，规划坚持山水林田湖草一体化修复保护理念，按照天更蓝、山更绿、水更清、环境更美好的愿景和“以水破题、系统治理”的修复思路，以“一屏、三网、三区”的国土空间生态修复布局为指引，基于生态、农业、城镇三类空间部署7项生态修复重点任务。</w:t>
      </w:r>
    </w:p>
    <w:p w14:paraId="60A12A7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1、实施森林改造与质量提升，全面提升森林生态质量</w:t>
      </w:r>
    </w:p>
    <w:p w14:paraId="724CDCD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以培育材质优良、景观优美、效益显著、前景广阔的珍贵、彩叶用材树种资源为抓手，致力促进林业高质量发展，推动建设高等级、高品质森林，深入开展重点区域森林“四化”建设，精准提升森林质量。大力开展森林造林、低效林改造项目，结合立地条件，科学采取更替、补植、抚育、封育等四种改造方式，促进森林生态系统正向演替。采取砍杂、割灌林地清理，更替改造优先选择在火烧迹地、疏林地、遭受森林火灾、严重病虫害的林地，砍除火烧枯木，补种树种并施肥，以提高森林质量。在人工造林过程中，加强科学指导。提高林地生产力及公益林补偿标准。提升森林生态系统整体功能，充分发挥生态功能。</w:t>
      </w:r>
    </w:p>
    <w:p w14:paraId="62768ED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2、推进重要生态廊道和网络构建，提高生物多样性</w:t>
      </w:r>
    </w:p>
    <w:p w14:paraId="2BBECA3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着力提升重要生态功能区自然保护地连通性，提高生物多样性。重点推进江西九连山国家级自然保护区、森林公园、湿地公园之间生物连通廊道构建以及重要野生动植物能量通道建设，积极推进廊道内重要保护区、森林公园、湿地公园重要生态系统保育保护，大力开展廊道内低质低效林森林质量提升工程、退耕还林工程、小流域水土流失综合治理工程、废弃矿山生态修复治理工程和农田生态治理工程。加强廊道内外来物种管控，增强本土物种培育栽植，提升外来有害物种入侵抵御能力。对于公路经过的地区，可通过建设人工廊桥、隧道、涵洞等设施，方便野生动物安全通过；对于农林种植地带，可通过退耕还林、人工建设绿化带等方式，为野生动物提供安全隐蔽的通道。加大生物多样性保护资金的投入。</w:t>
      </w:r>
    </w:p>
    <w:p w14:paraId="7776DDD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3、加强矿山综合治理，恢复区域生态环境</w:t>
      </w:r>
    </w:p>
    <w:p w14:paraId="2280A61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大力推进全市矿山复绿复垦、生态重塑，利用三年时间全面完成矿山大排查大整治专项行动排查出尚未完成生态修复义务的持证矿山生态修复任务，消除矿山边坡存在的地质灾害隐患、减少水土流失、降低矿山环境破坏对周边区域性生态安全影响，努力实现重点区域生态环境明显改善和区域生态环境的全面恢复，生态系统循环能力、生态产品生产能力和生态系统服务供给能力显著增强，构建起比较完善的生态系统保护、修复和管理的体制机制，形成一套可复制、可推广的生态保护修复技术模式，筑牢南方丘陵山地生态安全屏障。加强矿山开采监管，采取警示教育、政策扶持、科技示范、多元开发、多渠融资等措施组织开展矿山综合治理。重点恢复矿山地质环境，促进土地质量改善提升，全面遏制矿山水土流失给群众带来的严重生活影响，提升区域生态环境质量。有效解决废弃稀土矿山残留的浸矿剂对水体的氨氮超标影响、对土壤的酸性污染等问题以及在治理区域草皮、植物的成长度与原生植物仍有一定的差距的问题。到2025年，完成24个图斑、面积66.44公顷的历史遗留矿山治理任务；加大矿山生态修复力度，着实推进在产矿山边开发边修复，实现矿山生态质量稳步提升。</w:t>
      </w:r>
    </w:p>
    <w:p w14:paraId="644A04F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4、开展水系生态环境保护与修复，提升水生态系统质量</w:t>
      </w:r>
    </w:p>
    <w:p w14:paraId="345F221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针对全市不符合设置条件的违法入河排污口进行迁移、封堵、取缔。新建两岸堤，两侧堤防护岸，巡河路，安全防护栏；整治生态修复桃江、濂江、渥江、洒江及其支流水系，大力开展河道疏浚，清理河道及河岸垃圾，建设污水处理设施；新建河流两岸沿河道路，新增污水管网并进行植被恢复，实现两岸生态防护。划定集中式引用水源保护区，综合整治水源保护区内污染源，对区域取水口上游两侧实施生态修复工程，建设水源涵养林，强化水质监测。针对流域河道淤塞，沿河两岸河堤崩塌以及河岸裸露地表进行治理，将裸露地表进行复绿，改善水生态环境。推进排水渠清淤整治，对局部渠段进行浆砌石护坡整治，对沿线进行绿化改造，提升区域协调性。加强境内水质监测，特别是稀土矿、煤炭等矿产开采及水泥厂等重污染型工业的发展带来的水体污染问题。</w:t>
      </w:r>
    </w:p>
    <w:p w14:paraId="2EECE4C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5、推进农业空间生态建设，改善农业生态功能</w:t>
      </w:r>
    </w:p>
    <w:p w14:paraId="77C94BA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大力推进农用地、农村建设用地、乡村生态保护修复综合整治。针对河流流域周边村庄基础设施、环境保护设施条件差和土地资源使用率低下等问题，进行村庄综合整治，新建污水处理设施，实现雨污分流；实行建设用地合理划分，新建村庄公厕以及道路沟渠，提升农村居住环境。开展耕地污染风险评估，进行土壤污染状况普查，基于耕地污染类型、程度、范围、污染来源及经济性、可行性等因素，因地制宜的选择治理与修复模式受污染耕地治理。对生产力低下的农田进行土地整治，完善农田灌排和交通设施，合理规整零碎田块，实现现代化农业，修建拦水坝等水利设施，疏通流域内主要灌渠以保证农田灌溉水源。大力开展垃圾综合治理，购置垃圾分类桶、垃圾收集桶、垃圾转运箱、垃圾清运车，实现垃圾分类并及时处理，避免有害垃圾对土壤、河流带来污染以及对人体产生有害病毒，改善农业空间生态环境。加强农田精准施肥、合理用药宣传引导，推动农药化肥减量增效。力争到2025年，农药、化肥利用率高于45.1%、42.1%，恢复田间生物群落和生态链，提高农田生态系统生物多样性。</w:t>
      </w:r>
    </w:p>
    <w:p w14:paraId="226F0FA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6、推进资源枯竭型城市生态修复治理，改善城市生态环境</w:t>
      </w:r>
    </w:p>
    <w:p w14:paraId="3EAC6EB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以问题为导向，结合人居环境整治和城市发展方向，系统治理、综合整治。结合城市建设和发展方向，采取“宜农则农、宜水则水、宜游则游、宜生态则生态”的策略，因地制宜，重点加强龙南市全域采煤塌陷区生态修复治理，适时开展采煤塌陷地复垦、基本农田整理、生态环境修复、城乡人居环境综合整治，坚持绿色发展，加大生态基础设施建设。</w:t>
      </w:r>
    </w:p>
    <w:p w14:paraId="0B5E17D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7、开展三类空间相邻或冲突区域生态修复</w:t>
      </w:r>
    </w:p>
    <w:p w14:paraId="72F0D66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rPr>
          <w:rFonts w:hint="eastAsia" w:ascii="Times New Roman" w:hAnsi="Times New Roman" w:eastAsia="仿宋" w:cs="Times New Roman"/>
          <w:color w:val="auto"/>
          <w:kern w:val="2"/>
          <w:sz w:val="32"/>
          <w:szCs w:val="28"/>
          <w:highlight w:val="none"/>
          <w:lang w:val="en-US" w:eastAsia="zh-CN"/>
        </w:rPr>
      </w:pPr>
      <w:r>
        <w:rPr>
          <w:rFonts w:hint="eastAsia" w:ascii="Times New Roman" w:hAnsi="Times New Roman" w:eastAsia="仿宋" w:cs="Times New Roman"/>
          <w:color w:val="auto"/>
          <w:kern w:val="2"/>
          <w:sz w:val="32"/>
          <w:szCs w:val="28"/>
          <w:highlight w:val="none"/>
          <w:lang w:val="en-US" w:eastAsia="zh-CN"/>
        </w:rPr>
        <w:t>在全市城镇、农业与生态空间相邻或冲突区域，对“三调”发现的耕地、园地、林地、草地、湿地等用地中不符合自然地理格局和水资源受限的利用方式，按照“宜耕则耕、宜林则林、宜草则草、宜湿则湿”的原则逐步进行调整和修复，并因地制宜建设三类空间衔接地带生态缓冲带。重点在国家和省级以上自然保护区、龙南市城区城乡结合带等三类空间相邻区域，开展缓冲带建设，加大缓冲区域内生态修复治理，加强区域内生态系统功能恢复，减少对城镇空间和农业空间对生态空间的胁迫。</w:t>
      </w:r>
    </w:p>
    <w:p w14:paraId="493EC4EB">
      <w:pPr>
        <w:keepNext w:val="0"/>
        <w:keepLines w:val="0"/>
        <w:pageBreakBefore w:val="0"/>
        <w:widowControl w:val="0"/>
        <w:shd w:val="clear"/>
        <w:kinsoku/>
        <w:wordWrap/>
        <w:overflowPunct/>
        <w:topLinePunct w:val="0"/>
        <w:autoSpaceDE/>
        <w:autoSpaceDN/>
        <w:bidi w:val="0"/>
        <w:adjustRightInd w:val="0"/>
        <w:snapToGrid w:val="0"/>
        <w:spacing w:line="240" w:lineRule="exact"/>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pPr>
    </w:p>
    <w:p w14:paraId="7CF80AD2">
      <w:pPr>
        <w:keepNext w:val="0"/>
        <w:keepLines w:val="0"/>
        <w:pageBreakBefore w:val="0"/>
        <w:widowControl w:val="0"/>
        <w:shd w:val="clear"/>
        <w:kinsoku/>
        <w:wordWrap/>
        <w:overflowPunct/>
        <w:topLinePunct w:val="0"/>
        <w:autoSpaceDE/>
        <w:autoSpaceDN/>
        <w:bidi w:val="0"/>
        <w:adjustRightInd w:val="0"/>
        <w:snapToGrid w:val="0"/>
        <w:spacing w:line="240" w:lineRule="exact"/>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pPr>
    </w:p>
    <w:p w14:paraId="7F4B1889">
      <w:pPr>
        <w:keepNext w:val="0"/>
        <w:keepLines w:val="0"/>
        <w:pageBreakBefore w:val="0"/>
        <w:widowControl w:val="0"/>
        <w:shd w:val="clear"/>
        <w:kinsoku/>
        <w:wordWrap/>
        <w:overflowPunct/>
        <w:topLinePunct w:val="0"/>
        <w:autoSpaceDE/>
        <w:autoSpaceDN/>
        <w:bidi w:val="0"/>
        <w:adjustRightInd w:val="0"/>
        <w:snapToGrid w:val="0"/>
        <w:spacing w:line="240" w:lineRule="exact"/>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sectPr>
          <w:pgSz w:w="11906" w:h="16838"/>
          <w:pgMar w:top="1440" w:right="1800" w:bottom="1440" w:left="1800" w:header="851" w:footer="992" w:gutter="0"/>
          <w:cols w:space="720" w:num="1"/>
          <w:rtlGutter w:val="0"/>
          <w:docGrid w:linePitch="312" w:charSpace="0"/>
        </w:sectPr>
      </w:pPr>
    </w:p>
    <w:p w14:paraId="658EE3A5">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40" w:name="_Toc23987"/>
      <w:r>
        <w:rPr>
          <w:rFonts w:hint="eastAsia"/>
          <w:b/>
          <w:bCs/>
          <w:color w:val="auto"/>
          <w:sz w:val="36"/>
          <w:szCs w:val="36"/>
          <w:highlight w:val="none"/>
          <w:lang w:val="en-US" w:eastAsia="zh-CN"/>
        </w:rPr>
        <w:t>七、重大工程</w:t>
      </w:r>
      <w:bookmarkEnd w:id="39"/>
      <w:r>
        <w:rPr>
          <w:rFonts w:hint="eastAsia"/>
          <w:b/>
          <w:bCs/>
          <w:color w:val="auto"/>
          <w:sz w:val="36"/>
          <w:szCs w:val="36"/>
          <w:highlight w:val="none"/>
          <w:lang w:val="en-US" w:eastAsia="zh-CN"/>
        </w:rPr>
        <w:t>布设依据与说明</w:t>
      </w:r>
      <w:bookmarkEnd w:id="40"/>
    </w:p>
    <w:p w14:paraId="59F67159">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1" w:name="_Toc2551"/>
      <w:bookmarkStart w:id="42" w:name="_Toc144_WPSOffice_Level2"/>
      <w:r>
        <w:rPr>
          <w:rFonts w:hint="eastAsia" w:ascii="Times New Roman" w:hAnsi="Times New Roman" w:eastAsia="仿宋" w:cs="Times New Roman"/>
          <w:b/>
          <w:bCs/>
          <w:color w:val="auto"/>
          <w:sz w:val="32"/>
          <w:szCs w:val="32"/>
          <w:highlight w:val="none"/>
          <w:lang w:val="en-US" w:eastAsia="zh-CN"/>
        </w:rPr>
        <w:t>（一）重大工程布设依据</w:t>
      </w:r>
      <w:bookmarkEnd w:id="41"/>
    </w:p>
    <w:p w14:paraId="7146612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color w:val="auto"/>
          <w:kern w:val="10"/>
          <w:sz w:val="32"/>
          <w:szCs w:val="32"/>
          <w:highlight w:val="none"/>
        </w:rPr>
        <w:t>重大工程是落实规划重大任务，实现规划目标，解决全市生态主要问题的落脚点，对全市国土空间生态修复工作方向具有指引性。为此，规划重大工程布设主要遵循了以下依据：</w:t>
      </w:r>
    </w:p>
    <w:p w14:paraId="0201F517">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rPr>
        <w:t>落实了全市规划成员单位国土空间生态修复业务工作的需求。生态修复涉及到山水林田湖草多种生态要素，需要统筹多个部门的业务服务于生态系统的修复治理。因此，工程的布设综合考虑了全市农业农村、水利、生态环境、林业、水土保持、自然资源、发改委等多个部门的“十四五”期间的工作安排，包括区自然资源局、区发改委、区农业农村局、区水利局、区生态环境局等单位的生态文明建设工程等工程</w:t>
      </w:r>
      <w:r>
        <w:rPr>
          <w:rFonts w:hint="eastAsia" w:ascii="Times New Roman" w:hAnsi="Times New Roman" w:eastAsia="仿宋" w:cs="Times New Roman"/>
          <w:color w:val="auto"/>
          <w:kern w:val="10"/>
          <w:sz w:val="32"/>
          <w:szCs w:val="32"/>
          <w:highlight w:val="none"/>
          <w:lang w:val="en-US" w:eastAsia="zh-CN"/>
        </w:rPr>
        <w:t>。</w:t>
      </w:r>
    </w:p>
    <w:p w14:paraId="55CA7F94">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3" w:name="_Toc18417"/>
      <w:r>
        <w:rPr>
          <w:rFonts w:hint="eastAsia" w:ascii="Times New Roman" w:hAnsi="Times New Roman" w:eastAsia="仿宋" w:cs="Times New Roman"/>
          <w:b/>
          <w:bCs/>
          <w:color w:val="auto"/>
          <w:sz w:val="32"/>
          <w:szCs w:val="32"/>
          <w:highlight w:val="none"/>
          <w:lang w:val="en-US" w:eastAsia="zh-CN"/>
        </w:rPr>
        <w:t>（二）重大工程布设说明</w:t>
      </w:r>
      <w:bookmarkEnd w:id="43"/>
    </w:p>
    <w:bookmarkEnd w:id="42"/>
    <w:p w14:paraId="332CD6C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color w:val="auto"/>
          <w:kern w:val="10"/>
          <w:sz w:val="32"/>
          <w:szCs w:val="32"/>
          <w:highlight w:val="none"/>
        </w:rPr>
        <w:t>按照以上重大工程安排依据，规划根据赣州市“一带、三屏、三源、多组团”以及龙南市“一屏、三网、三区”国土空间生态修复总体布局，聚焦全市生态、农业、城镇以及矿山主要生态问题和主攻方向，按照提高生态质量、改善生态功能、提升生态品质、促进和谐发展的规划期目标和重点任务。</w:t>
      </w:r>
    </w:p>
    <w:p w14:paraId="182116A5">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b/>
          <w:bCs/>
          <w:color w:val="auto"/>
          <w:kern w:val="10"/>
          <w:sz w:val="32"/>
          <w:szCs w:val="32"/>
          <w:highlight w:val="none"/>
        </w:rPr>
        <w:t>对于“矿山生态环境综合治理工程”</w:t>
      </w:r>
      <w:r>
        <w:rPr>
          <w:rFonts w:hint="eastAsia" w:ascii="Times New Roman" w:hAnsi="Times New Roman" w:eastAsia="仿宋" w:cs="Times New Roman"/>
          <w:color w:val="auto"/>
          <w:kern w:val="10"/>
          <w:sz w:val="32"/>
          <w:szCs w:val="32"/>
          <w:highlight w:val="none"/>
        </w:rPr>
        <w:t>，部署了“龙南市废弃露天矿山环境治理项目”、“龙南市采煤沉陷区综合治理项目”2个项目。总体目标是：完成龙南市废弃露天矿山生态修复任务和采煤沉陷区综合治理任务。深入推进国家生态文明试验区（江西）建设的时代背景下，通过项目来推进赣州市生态文明建设，筑牢南方丘陵山地生态安全屏障，为赣州经济高质量发展奠定良好的生态环境基础。主要任务是：统筹谋划赣州废弃露天矿山环境治理组织管理、实施时序、项目安排、资金来源等措施，科学合理推进辖区内废弃露天矿山生态修复工作。对龙南市政策性关停煤矿、炭质页岩矿、煤矸石堆废弃矿区进行生态修复。</w:t>
      </w:r>
    </w:p>
    <w:p w14:paraId="7E16916A">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rPr>
      </w:pPr>
      <w:r>
        <w:rPr>
          <w:rFonts w:hint="eastAsia" w:ascii="Times New Roman" w:hAnsi="Times New Roman" w:eastAsia="仿宋" w:cs="Times New Roman"/>
          <w:b/>
          <w:bCs/>
          <w:color w:val="auto"/>
          <w:kern w:val="10"/>
          <w:sz w:val="32"/>
          <w:szCs w:val="32"/>
          <w:highlight w:val="none"/>
        </w:rPr>
        <w:t>对于“水土保持综合治理工程”</w:t>
      </w:r>
      <w:r>
        <w:rPr>
          <w:rFonts w:hint="eastAsia" w:ascii="Times New Roman" w:hAnsi="Times New Roman" w:eastAsia="仿宋" w:cs="Times New Roman"/>
          <w:color w:val="auto"/>
          <w:kern w:val="10"/>
          <w:sz w:val="32"/>
          <w:szCs w:val="32"/>
          <w:highlight w:val="none"/>
        </w:rPr>
        <w:t>，部署“水生态保护与修复工程”1个项目。主要分布于桃江片区的水土流失较严重的花岗岩分布区。总体目标是：大力实施生态清洁型、生态经济型、生态旅游型小流域综合治理，统筹山水林田草诸要素，科学规划工程措施、植物措施、农业技术、清洁措施和管理措施，优化水土资源配置，提高土地生产力，发展特色优势产业，促进农业生产基础设施提质增效，持续改善生态和民生，保障区域经济社会可持续发展。主要任务是：根据赣州市国家水土保持项目总体目标任务的要求，以年度目标任务方式分解下达至龙南市，全面完成龙南市的目标任务。以减少水土流失和恢复受损植被为目的，通过植树造林、封山育林、退耕还林，乔灌草相结合，修复退化生态系统，增加森林植被覆盖率。</w:t>
      </w:r>
    </w:p>
    <w:p w14:paraId="7DBD9DB2">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eastAsia="zh-CN"/>
        </w:rPr>
      </w:pPr>
      <w:r>
        <w:rPr>
          <w:rFonts w:hint="eastAsia" w:ascii="Times New Roman" w:hAnsi="Times New Roman" w:eastAsia="仿宋" w:cs="Times New Roman"/>
          <w:b/>
          <w:bCs/>
          <w:color w:val="auto"/>
          <w:kern w:val="10"/>
          <w:sz w:val="32"/>
          <w:szCs w:val="32"/>
          <w:highlight w:val="none"/>
        </w:rPr>
        <w:t>对于“亚热带森林质量提升及生物多样性保护生态廊道建设工程”</w:t>
      </w:r>
      <w:r>
        <w:rPr>
          <w:rFonts w:hint="eastAsia" w:ascii="Times New Roman" w:hAnsi="Times New Roman" w:eastAsia="仿宋" w:cs="Times New Roman"/>
          <w:color w:val="auto"/>
          <w:kern w:val="10"/>
          <w:sz w:val="32"/>
          <w:szCs w:val="32"/>
          <w:highlight w:val="none"/>
        </w:rPr>
        <w:t>，部署“低质低效林改造项目”、“赣南区域国土绿化试点示范项目”、“南岭-九连山霄山脉亚热带森林质量提升及生物多样性保护生态廊道建设项目”等3个重点工程，主要分布在全市低质低效林分布区，水土流失严重区，江河源头、重要饮用水源地、河流两岸、水库周边，主要通道两侧、主要城镇村庄周边、重要景区以及南岭九连山山脉一带。总体目标：在“十四五”期末，全面完成低质低效林改造任务。以构建国土绿化一体化新格局，引领带动红壤丘陵区退化生态系统恢复为目标，坚持科学规划、因地制宜、精准施策，综合运用“造、改、提”等措施，聚焦提升全市森林生态系统质量、增强森林固碳能力、优化树种结构，着力在南岭-九连山脉亚热带森林地区开展人工林造林、油茶林营造、封山育林和退化林修复（低产低效林改造）等工作，着力建设健康稳定优质高效森林生态系统。主要任务：一是按照《江西省赣州市低质低效林改造规划》内容，编制项目建设年度实施方案，明确年度改造目标，改造方式，改造重点等。坚持因地制宜、稳步实施低质低效林改造，着力提升全市森林质量。采取人工新造、更替、补植和抚育四种技术措施，补齐因无立木林地、疏林地、废弃矿区、受损山体等地块形成的“网眼”。二是探索南方丘陵山地生态脆弱区生态修复新模式，研究总结人工造林、退化林分修复和油茶生态经营集成管理体系，形成一套可复制、可推广的经营管理模式和运行机制。三是以森林保育保护、退化林修复为重点，强化森林资源保护力度，加强天然林保护，稳定廊道范围内林区封禁范围，减少人为扰动和破坏，加强政策宣传，增强护林意识，强化管护责任落实，提高森林保护成效，加强外来物种管控，有效控制有害生物成灾率；大力开展以南岭-九连山脉为主的廊道森林质量提升、人工造林等工程，有效改善森林质量，优化林种树种结构，提升自然保护地连通性，有效构建野生动植物连通廊道，保护生物多样性和生态系统稳定</w:t>
      </w:r>
      <w:r>
        <w:rPr>
          <w:rFonts w:hint="eastAsia" w:ascii="Times New Roman" w:hAnsi="Times New Roman" w:eastAsia="仿宋" w:cs="Times New Roman"/>
          <w:color w:val="auto"/>
          <w:kern w:val="10"/>
          <w:sz w:val="32"/>
          <w:szCs w:val="32"/>
          <w:highlight w:val="none"/>
          <w:lang w:eastAsia="zh-CN"/>
        </w:rPr>
        <w:t>。</w:t>
      </w:r>
    </w:p>
    <w:p w14:paraId="6243076C">
      <w:pPr>
        <w:pStyle w:val="2"/>
        <w:rPr>
          <w:rFonts w:hint="eastAsia"/>
          <w:color w:val="auto"/>
          <w:highlight w:val="none"/>
          <w:lang w:val="en-US" w:eastAsia="zh-CN"/>
        </w:rPr>
      </w:pPr>
    </w:p>
    <w:p w14:paraId="6F9FD5A3">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outlineLvl w:val="9"/>
        <w:rPr>
          <w:rFonts w:hint="eastAsia"/>
          <w:color w:val="auto"/>
          <w:sz w:val="21"/>
          <w:szCs w:val="21"/>
          <w:highlight w:val="none"/>
          <w:lang w:val="en-US" w:eastAsia="zh-CN"/>
        </w:rPr>
      </w:pPr>
    </w:p>
    <w:p w14:paraId="090BAF8E">
      <w:pPr>
        <w:pStyle w:val="2"/>
        <w:keepNext w:val="0"/>
        <w:keepLines w:val="0"/>
        <w:pageBreakBefore w:val="0"/>
        <w:widowControl w:val="0"/>
        <w:kinsoku/>
        <w:wordWrap/>
        <w:overflowPunct/>
        <w:topLinePunct w:val="0"/>
        <w:autoSpaceDE/>
        <w:autoSpaceDN/>
        <w:bidi w:val="0"/>
        <w:adjustRightInd w:val="0"/>
        <w:snapToGrid w:val="0"/>
        <w:spacing w:line="240" w:lineRule="exact"/>
        <w:ind w:firstLine="0" w:firstLineChars="0"/>
        <w:textAlignment w:val="auto"/>
        <w:outlineLvl w:val="9"/>
        <w:rPr>
          <w:rFonts w:hint="eastAsia"/>
          <w:color w:val="auto"/>
          <w:sz w:val="21"/>
          <w:szCs w:val="21"/>
          <w:highlight w:val="none"/>
          <w:lang w:val="en-US" w:eastAsia="zh-CN"/>
        </w:rPr>
      </w:pPr>
    </w:p>
    <w:p w14:paraId="5DECD1EE">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0" w:firstLineChars="0"/>
        <w:textAlignment w:val="auto"/>
        <w:outlineLvl w:val="9"/>
        <w:rPr>
          <w:rFonts w:hint="eastAsia" w:ascii="Times New Roman" w:hAnsi="Times New Roman" w:eastAsia="仿宋" w:cs="Times New Roman"/>
          <w:b w:val="0"/>
          <w:bCs/>
          <w:color w:val="auto"/>
          <w:sz w:val="21"/>
          <w:szCs w:val="21"/>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rtlGutter w:val="0"/>
          <w:docGrid w:linePitch="312" w:charSpace="0"/>
        </w:sectPr>
      </w:pPr>
    </w:p>
    <w:p w14:paraId="551B2DD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44" w:name="_Toc30328_WPSOffice_Level1"/>
      <w:bookmarkStart w:id="45" w:name="_Toc28643"/>
      <w:r>
        <w:rPr>
          <w:rFonts w:hint="eastAsia"/>
          <w:b/>
          <w:bCs/>
          <w:color w:val="auto"/>
          <w:sz w:val="36"/>
          <w:szCs w:val="36"/>
          <w:highlight w:val="none"/>
          <w:lang w:val="en-US" w:eastAsia="zh-CN"/>
        </w:rPr>
        <w:t>八、</w:t>
      </w:r>
      <w:bookmarkEnd w:id="44"/>
      <w:r>
        <w:rPr>
          <w:rFonts w:hint="eastAsia"/>
          <w:b/>
          <w:bCs/>
          <w:color w:val="auto"/>
          <w:sz w:val="36"/>
          <w:szCs w:val="36"/>
          <w:highlight w:val="none"/>
          <w:lang w:val="en-US" w:eastAsia="zh-CN"/>
        </w:rPr>
        <w:t>成本效益</w:t>
      </w:r>
      <w:bookmarkEnd w:id="45"/>
    </w:p>
    <w:p w14:paraId="66279558">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6" w:name="_Toc5080"/>
      <w:bookmarkStart w:id="47" w:name="_Toc17240_WPSOffice_Level2"/>
      <w:r>
        <w:rPr>
          <w:rFonts w:hint="eastAsia" w:ascii="Times New Roman" w:hAnsi="Times New Roman" w:eastAsia="仿宋" w:cs="Times New Roman"/>
          <w:b/>
          <w:bCs/>
          <w:color w:val="auto"/>
          <w:sz w:val="32"/>
          <w:szCs w:val="32"/>
          <w:highlight w:val="none"/>
          <w:lang w:val="en-US" w:eastAsia="zh-CN"/>
        </w:rPr>
        <w:t>（一）资金需求与估算依据</w:t>
      </w:r>
      <w:bookmarkEnd w:id="46"/>
    </w:p>
    <w:p w14:paraId="68967740">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估算依据</w:t>
      </w:r>
    </w:p>
    <w:p w14:paraId="4992FF2C">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生态修复涉及到山水林田湖草等多种生态要素，需要统筹多个部门的业务服务于生态系统的修复治理。因此，工程的布设也相应涉及到</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林业、水利、农业农村、住建、城管、自然资源等多个行业部门，各部门的重大工程项目投资估算，也相应根据各行业估算编制依据编制而成。本规划根据</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各相关部门“十四五”规划重大工程项目清单，从中提取与生态保护和修复有关的工程项目，经过汇总统计，得出重大工程项目资金需求。本次投资估算主要参考的工程项目清单如下：</w:t>
      </w:r>
    </w:p>
    <w:p w14:paraId="27A2E7E4">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国民经济和社会发展第十四个五年规划和二〇三五年远景目标纲要；</w:t>
      </w:r>
    </w:p>
    <w:p w14:paraId="7380FBA5">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w:t>
      </w:r>
      <w:r>
        <w:rPr>
          <w:rFonts w:hint="eastAsia" w:cs="Times New Roman"/>
          <w:color w:val="auto"/>
          <w:kern w:val="10"/>
          <w:sz w:val="32"/>
          <w:szCs w:val="32"/>
          <w:highlight w:val="none"/>
          <w:lang w:val="en-US" w:eastAsia="zh-CN"/>
        </w:rPr>
        <w:t>龙南市“十四五”林业发展规划主要建设项目表</w:t>
      </w:r>
      <w:r>
        <w:rPr>
          <w:rFonts w:hint="eastAsia" w:ascii="Times New Roman" w:hAnsi="Times New Roman" w:eastAsia="仿宋" w:cs="Times New Roman"/>
          <w:color w:val="auto"/>
          <w:kern w:val="10"/>
          <w:sz w:val="32"/>
          <w:szCs w:val="32"/>
          <w:highlight w:val="none"/>
          <w:lang w:val="en-US" w:eastAsia="zh-CN"/>
        </w:rPr>
        <w:t>；</w:t>
      </w:r>
    </w:p>
    <w:p w14:paraId="14E1DB01">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48" w:name="OLE_LINK1"/>
      <w:r>
        <w:rPr>
          <w:rFonts w:hint="eastAsia" w:ascii="Times New Roman" w:hAnsi="Times New Roman" w:eastAsia="仿宋" w:cs="Times New Roman"/>
          <w:color w:val="auto"/>
          <w:kern w:val="10"/>
          <w:sz w:val="32"/>
          <w:szCs w:val="32"/>
          <w:highlight w:val="none"/>
          <w:lang w:val="en-US" w:eastAsia="zh-CN"/>
        </w:rPr>
        <w:t>（3）龙南市水利发展“十四五”规划项目投资表；</w:t>
      </w:r>
    </w:p>
    <w:bookmarkEnd w:id="48"/>
    <w:p w14:paraId="5B315BCE">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4</w:t>
      </w:r>
      <w:r>
        <w:rPr>
          <w:rFonts w:hint="eastAsia" w:ascii="Times New Roman" w:hAnsi="Times New Roman" w:eastAsia="仿宋" w:cs="Times New Roman"/>
          <w:color w:val="auto"/>
          <w:kern w:val="10"/>
          <w:sz w:val="32"/>
          <w:szCs w:val="32"/>
          <w:highlight w:val="none"/>
          <w:lang w:val="en-US" w:eastAsia="zh-CN"/>
        </w:rPr>
        <w:t>）赣州市“十四五”重大项目清单（赣州市发改委）；</w:t>
      </w:r>
    </w:p>
    <w:p w14:paraId="3D9EA69D">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w:t>
      </w:r>
      <w:r>
        <w:rPr>
          <w:rFonts w:hint="eastAsia" w:cs="Times New Roman"/>
          <w:color w:val="auto"/>
          <w:kern w:val="10"/>
          <w:sz w:val="32"/>
          <w:szCs w:val="32"/>
          <w:highlight w:val="none"/>
          <w:lang w:val="en-US" w:eastAsia="zh-CN"/>
        </w:rPr>
        <w:t>5</w:t>
      </w:r>
      <w:r>
        <w:rPr>
          <w:rFonts w:hint="eastAsia" w:ascii="Times New Roman" w:hAnsi="Times New Roman" w:eastAsia="仿宋" w:cs="Times New Roman"/>
          <w:color w:val="auto"/>
          <w:kern w:val="10"/>
          <w:sz w:val="32"/>
          <w:szCs w:val="32"/>
          <w:highlight w:val="none"/>
          <w:lang w:val="en-US" w:eastAsia="zh-CN"/>
        </w:rPr>
        <w:t>）赣州市生态环境保护修复项目清单（赣州市自然资源局）。</w:t>
      </w:r>
    </w:p>
    <w:p w14:paraId="0C7E5A04">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资金需求</w:t>
      </w:r>
    </w:p>
    <w:p w14:paraId="6BEC81AC">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从龙南市相关行业部门“十四五”规划重大工程项目清单中提取与生态保护和修复有关的工程项目6个，按矿山生态环境综合治理与农田生态提质工程、水土保持综合治理工程、亚热带森林质量提升及生物多样性保护生态廊道建设工程等3项重大工程分别归类、统计，《规划》重大工程项目需求资金为20.508亿元，详见附表。</w:t>
      </w:r>
    </w:p>
    <w:p w14:paraId="55669012">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49" w:name="_Toc20553"/>
      <w:r>
        <w:rPr>
          <w:rFonts w:hint="eastAsia" w:ascii="Times New Roman" w:hAnsi="Times New Roman" w:eastAsia="仿宋" w:cs="Times New Roman"/>
          <w:b/>
          <w:bCs/>
          <w:color w:val="auto"/>
          <w:sz w:val="32"/>
          <w:szCs w:val="32"/>
          <w:highlight w:val="none"/>
          <w:lang w:val="en-US" w:eastAsia="zh-CN"/>
        </w:rPr>
        <w:t>（二）生态修复实施效益</w:t>
      </w:r>
      <w:bookmarkEnd w:id="49"/>
    </w:p>
    <w:p w14:paraId="523D897A">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生态效益</w:t>
      </w:r>
    </w:p>
    <w:p w14:paraId="1EA1A337">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龙南市地处赣江流域和珠江流域分水岭、赣江上游源头区，水资源丰富，是鄱阳湖的重要补给区，是长江流域下游的重要水源区，是国家重要的水源涵养生态功能区，生态地位非常重要。</w:t>
      </w:r>
    </w:p>
    <w:p w14:paraId="202D57BA">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的实施，可以有效提高龙南市南岭-九连山山地森林生态系统质量，减少水土流失，显著提升涵养水源、保持水土的功能；丰富生物多样性，为野生动植物栖息和繁衍提供良好的保护体系和生存环境，使珍稀和濒危物种得到有效保护；减少人为活动对水资源的破坏，提高水资源保障能力和水灾应对能力，确保流域内水资源安全，同时也减少崩滑流塌等地质灾害的发生；改善土壤质量，恢复土地利用功能，土地资源得到合理利用，环境风险得到有效控制。规划的实施，有效改善龙南市生态环境，稳固龙南市“一屏一区两脉五河”生态安全格局，助力赣州市构建“四屏三区三源多廊”生态安全战略格局，筑牢南方丘陵山地带生态屏障。</w:t>
      </w:r>
    </w:p>
    <w:p w14:paraId="28EA67B9">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经济效益</w:t>
      </w:r>
    </w:p>
    <w:p w14:paraId="3E44730E">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（1）直接经济效益</w:t>
      </w:r>
    </w:p>
    <w:p w14:paraId="7AD4DB1E">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50" w:name="_Toc15709"/>
      <w:bookmarkStart w:id="51" w:name="_Toc26394"/>
      <w:bookmarkStart w:id="52" w:name="_Toc2039"/>
      <w:bookmarkStart w:id="53" w:name="_Toc11003"/>
      <w:bookmarkStart w:id="54" w:name="_Toc3683"/>
      <w:r>
        <w:rPr>
          <w:rFonts w:hint="eastAsia" w:ascii="Times New Roman" w:hAnsi="Times New Roman" w:eastAsia="仿宋" w:cs="Times New Roman"/>
          <w:color w:val="auto"/>
          <w:kern w:val="10"/>
          <w:sz w:val="32"/>
          <w:szCs w:val="32"/>
          <w:highlight w:val="none"/>
          <w:lang w:val="en-US" w:eastAsia="zh-CN"/>
        </w:rPr>
        <w:t>通过规划的实施，区域生态环境质量明显改善，同时并起到推动龙南市经济发展、拉动地方GDP增长的作用，产生直接经济效益。主要表现为：</w:t>
      </w:r>
    </w:p>
    <w:p w14:paraId="7B6F9509">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仿宋" w:hAnsi="仿宋" w:eastAsia="仿宋" w:cs="仿宋"/>
          <w:color w:val="auto"/>
          <w:kern w:val="10"/>
          <w:sz w:val="32"/>
          <w:szCs w:val="32"/>
          <w:highlight w:val="none"/>
          <w:lang w:val="en-US" w:eastAsia="zh-CN"/>
        </w:rPr>
      </w:pPr>
      <w:r>
        <w:rPr>
          <w:rFonts w:hint="eastAsia" w:ascii="仿宋" w:hAnsi="仿宋" w:eastAsia="仿宋" w:cs="仿宋"/>
          <w:b/>
          <w:bCs/>
          <w:color w:val="auto"/>
          <w:kern w:val="10"/>
          <w:sz w:val="32"/>
          <w:szCs w:val="32"/>
          <w:highlight w:val="none"/>
          <w:lang w:val="en-US" w:eastAsia="zh-CN"/>
        </w:rPr>
        <w:t>——盘活存量建设用地收益</w:t>
      </w:r>
      <w:bookmarkEnd w:id="50"/>
      <w:bookmarkEnd w:id="51"/>
      <w:bookmarkEnd w:id="52"/>
      <w:bookmarkEnd w:id="53"/>
      <w:bookmarkEnd w:id="54"/>
    </w:p>
    <w:p w14:paraId="39B23DB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实施历史遗留矿山生态修复后，预期新增水田规模约39亩，旱地建设规模约396亩，新增林草地约561.6亩。参照《江西省人民政府办公厅关于印发江西省城乡建设用地增减挂钩节余指标调剂实施细则和江西省跨设区市补充耕地省级统筹调剂管理办法的通知》（赣府厅发〔2019〕13号）文件规定，按复垦为水田每亩25 万元、旱地每亩15万元、其他农用地每亩10 万元的省域内调出价格估算，预期产生土地收益约12531万元。</w:t>
      </w:r>
    </w:p>
    <w:p w14:paraId="39F7AD0B">
      <w:pPr>
        <w:keepNext w:val="0"/>
        <w:keepLines w:val="0"/>
        <w:pageBreakBefore w:val="0"/>
        <w:widowControl w:val="0"/>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——森林碳汇收益</w:t>
      </w:r>
    </w:p>
    <w:p w14:paraId="6A334FD8">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规划实施后，到2025年，龙南市活立木总蓄积量达到1208万立方米，相对于规划基准年新增蓄积量143万立方米。由于《龙南市“十四五”林业发展规划》和《</w:t>
      </w:r>
      <w:r>
        <w:rPr>
          <w:rFonts w:hint="eastAsia" w:ascii="Times New Roman" w:hAnsi="Times New Roman" w:eastAsia="仿宋" w:cs="Times New Roman"/>
          <w:color w:val="auto"/>
          <w:sz w:val="32"/>
          <w:szCs w:val="28"/>
          <w:highlight w:val="none"/>
          <w:lang w:val="en-US" w:eastAsia="zh-CN"/>
        </w:rPr>
        <w:t>龙南县第七次森林资源二类调查成果报告》</w:t>
      </w:r>
      <w:r>
        <w:rPr>
          <w:rFonts w:hint="eastAsia" w:ascii="Times New Roman" w:hAnsi="Times New Roman" w:eastAsia="仿宋" w:cs="Times New Roman"/>
          <w:color w:val="auto"/>
          <w:kern w:val="10"/>
          <w:sz w:val="32"/>
          <w:szCs w:val="32"/>
          <w:highlight w:val="none"/>
          <w:lang w:val="en-US" w:eastAsia="zh-CN"/>
        </w:rPr>
        <w:t>中缺少龙南市森林资源树种结构资料，故参照《赣州市第七次森林资源二类调查成果汇编》树种结构原表4-8（见下表2），按《江西省森林经营碳汇项目方法学（试行）》（2021年）表6.6和《造林项目碳汇计量监测指南》（LY∕T2253-2014）表M.1</w:t>
      </w:r>
      <w:r>
        <w:rPr>
          <w:rFonts w:hint="eastAsia" w:ascii="宋体" w:hAnsi="宋体" w:eastAsia="宋体" w:cs="宋体"/>
          <w:color w:val="auto"/>
          <w:kern w:val="10"/>
          <w:sz w:val="32"/>
          <w:szCs w:val="32"/>
          <w:highlight w:val="none"/>
          <w:lang w:val="en-US" w:eastAsia="zh-CN"/>
        </w:rPr>
        <w:t>～表</w:t>
      </w:r>
      <w:r>
        <w:rPr>
          <w:rFonts w:hint="default" w:ascii="Times New Roman" w:hAnsi="Times New Roman" w:eastAsia="宋体" w:cs="Times New Roman"/>
          <w:color w:val="auto"/>
          <w:kern w:val="10"/>
          <w:sz w:val="32"/>
          <w:szCs w:val="32"/>
          <w:highlight w:val="none"/>
          <w:lang w:val="en-US" w:eastAsia="zh-CN"/>
        </w:rPr>
        <w:t>M.6</w:t>
      </w:r>
      <w:r>
        <w:rPr>
          <w:rFonts w:hint="eastAsia" w:ascii="仿宋" w:hAnsi="仿宋" w:eastAsia="仿宋" w:cs="仿宋"/>
          <w:color w:val="auto"/>
          <w:kern w:val="10"/>
          <w:sz w:val="32"/>
          <w:szCs w:val="32"/>
          <w:highlight w:val="none"/>
          <w:lang w:val="en-US" w:eastAsia="zh-CN"/>
        </w:rPr>
        <w:t>选取相应的乔木树种生物量含碳率</w:t>
      </w:r>
      <w:r>
        <w:rPr>
          <w:rFonts w:hint="default" w:ascii="Times New Roman" w:hAnsi="Times New Roman" w:eastAsia="仿宋" w:cs="Times New Roman"/>
          <w:i/>
          <w:iCs/>
          <w:color w:val="auto"/>
          <w:kern w:val="10"/>
          <w:sz w:val="32"/>
          <w:szCs w:val="32"/>
          <w:highlight w:val="none"/>
          <w:lang w:val="en-US" w:eastAsia="zh-CN"/>
        </w:rPr>
        <w:t>CF</w:t>
      </w:r>
      <w:r>
        <w:rPr>
          <w:rFonts w:hint="eastAsia" w:ascii="仿宋" w:hAnsi="仿宋" w:eastAsia="仿宋" w:cs="仿宋"/>
          <w:color w:val="auto"/>
          <w:kern w:val="10"/>
          <w:sz w:val="32"/>
          <w:szCs w:val="32"/>
          <w:highlight w:val="none"/>
          <w:lang w:val="en-US" w:eastAsia="zh-CN"/>
        </w:rPr>
        <w:t>值、地下生物量/地上生物量比值</w:t>
      </w:r>
      <w:r>
        <w:rPr>
          <w:rFonts w:hint="default" w:ascii="Times New Roman" w:hAnsi="Times New Roman" w:eastAsia="仿宋" w:cs="Times New Roman"/>
          <w:i/>
          <w:iCs/>
          <w:color w:val="auto"/>
          <w:kern w:val="10"/>
          <w:sz w:val="32"/>
          <w:szCs w:val="32"/>
          <w:highlight w:val="none"/>
          <w:lang w:val="en-US" w:eastAsia="zh-CN"/>
        </w:rPr>
        <w:t>R</w:t>
      </w:r>
      <w:r>
        <w:rPr>
          <w:rFonts w:hint="eastAsia" w:ascii="仿宋" w:hAnsi="仿宋" w:eastAsia="仿宋" w:cs="仿宋"/>
          <w:color w:val="auto"/>
          <w:kern w:val="10"/>
          <w:sz w:val="32"/>
          <w:szCs w:val="32"/>
          <w:highlight w:val="none"/>
          <w:lang w:val="en-US" w:eastAsia="zh-CN"/>
        </w:rPr>
        <w:t>值、木材基本密度</w:t>
      </w:r>
      <w:r>
        <w:rPr>
          <w:rFonts w:hint="default" w:ascii="Times New Roman" w:hAnsi="Times New Roman" w:eastAsia="仿宋" w:cs="Times New Roman"/>
          <w:i/>
          <w:iCs/>
          <w:color w:val="auto"/>
          <w:kern w:val="10"/>
          <w:sz w:val="32"/>
          <w:szCs w:val="32"/>
          <w:highlight w:val="none"/>
          <w:lang w:val="en-US" w:eastAsia="zh-CN"/>
        </w:rPr>
        <w:t>D</w:t>
      </w:r>
      <w:r>
        <w:rPr>
          <w:rFonts w:hint="eastAsia" w:ascii="仿宋" w:hAnsi="仿宋" w:eastAsia="仿宋" w:cs="仿宋"/>
          <w:color w:val="auto"/>
          <w:kern w:val="10"/>
          <w:sz w:val="32"/>
          <w:szCs w:val="32"/>
          <w:highlight w:val="none"/>
          <w:lang w:val="en-US" w:eastAsia="zh-CN"/>
        </w:rPr>
        <w:t>值、生物量扩展因子</w:t>
      </w:r>
      <w:r>
        <w:rPr>
          <w:rFonts w:hint="default" w:ascii="Times New Roman" w:hAnsi="Times New Roman" w:eastAsia="仿宋" w:cs="Times New Roman"/>
          <w:i/>
          <w:iCs/>
          <w:color w:val="auto"/>
          <w:kern w:val="10"/>
          <w:sz w:val="32"/>
          <w:szCs w:val="32"/>
          <w:highlight w:val="none"/>
          <w:lang w:val="en-US" w:eastAsia="zh-CN"/>
        </w:rPr>
        <w:t>BEF</w:t>
      </w:r>
      <w:r>
        <w:rPr>
          <w:rFonts w:hint="eastAsia" w:ascii="仿宋" w:hAnsi="仿宋" w:eastAsia="仿宋" w:cs="仿宋"/>
          <w:color w:val="auto"/>
          <w:kern w:val="10"/>
          <w:sz w:val="32"/>
          <w:szCs w:val="32"/>
          <w:highlight w:val="none"/>
          <w:lang w:val="en-US" w:eastAsia="zh-CN"/>
        </w:rPr>
        <w:t>值（见下表</w:t>
      </w:r>
      <w:r>
        <w:rPr>
          <w:rFonts w:hint="eastAsia" w:ascii="Times New Roman" w:hAnsi="Times New Roman" w:eastAsia="仿宋" w:cs="Times New Roman"/>
          <w:color w:val="auto"/>
          <w:kern w:val="10"/>
          <w:sz w:val="32"/>
          <w:szCs w:val="32"/>
          <w:highlight w:val="none"/>
          <w:lang w:val="en-US" w:eastAsia="zh-CN"/>
        </w:rPr>
        <w:t>3</w:t>
      </w:r>
      <w:r>
        <w:rPr>
          <w:rFonts w:hint="eastAsia" w:ascii="仿宋" w:hAnsi="仿宋" w:eastAsia="仿宋" w:cs="仿宋"/>
          <w:color w:val="auto"/>
          <w:kern w:val="10"/>
          <w:sz w:val="32"/>
          <w:szCs w:val="32"/>
          <w:highlight w:val="none"/>
          <w:lang w:val="en-US" w:eastAsia="zh-CN"/>
        </w:rPr>
        <w:t>），再以表</w:t>
      </w:r>
      <w:r>
        <w:rPr>
          <w:rFonts w:hint="eastAsia" w:ascii="Times New Roman" w:hAnsi="Times New Roman" w:eastAsia="仿宋" w:cs="Times New Roman"/>
          <w:color w:val="auto"/>
          <w:kern w:val="10"/>
          <w:sz w:val="32"/>
          <w:szCs w:val="32"/>
          <w:highlight w:val="none"/>
          <w:lang w:val="en-US" w:eastAsia="zh-CN"/>
        </w:rPr>
        <w:t>2中蓄积量的百分比作为权重求出上述各参数的加权平均值，最后按照</w:t>
      </w:r>
      <w:r>
        <w:rPr>
          <w:rFonts w:hint="eastAsia" w:ascii="仿宋" w:hAnsi="仿宋" w:eastAsia="仿宋" w:cs="仿宋"/>
          <w:color w:val="auto"/>
          <w:kern w:val="10"/>
          <w:sz w:val="32"/>
          <w:szCs w:val="32"/>
          <w:highlight w:val="none"/>
          <w:lang w:val="en-US" w:eastAsia="zh-CN"/>
        </w:rPr>
        <w:t>下列公式测</w:t>
      </w:r>
      <w:r>
        <w:rPr>
          <w:rFonts w:hint="eastAsia" w:ascii="Times New Roman" w:hAnsi="Times New Roman" w:eastAsia="仿宋" w:cs="Times New Roman"/>
          <w:color w:val="auto"/>
          <w:kern w:val="10"/>
          <w:sz w:val="32"/>
          <w:szCs w:val="32"/>
          <w:highlight w:val="none"/>
          <w:lang w:val="en-US" w:eastAsia="zh-CN"/>
        </w:rPr>
        <w:t>算，规划期内新增森林碳储量235.7万吨二氧化碳当量，按市场价每吨50元保守估算，预期可产生森林碳汇收益11785万元。</w:t>
      </w:r>
    </w:p>
    <w:p w14:paraId="4B6AA51F">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firstLine="0" w:firstLineChars="0"/>
        <w:textAlignment w:val="auto"/>
        <w:outlineLvl w:val="9"/>
        <w:rPr>
          <w:rFonts w:hint="eastAsia" w:ascii="仿宋" w:hAnsi="仿宋" w:eastAsia="仿宋" w:cs="仿宋"/>
          <w:color w:val="auto"/>
          <w:sz w:val="28"/>
          <w:szCs w:val="28"/>
          <w:highlight w:val="none"/>
          <w:lang w:eastAsia="zh-CN"/>
        </w:rPr>
      </w:pPr>
      <w:r>
        <w:rPr>
          <w:color w:val="auto"/>
          <w:highlight w:val="none"/>
        </w:rPr>
        <w:drawing>
          <wp:inline distT="0" distB="0" distL="114300" distR="114300">
            <wp:extent cx="3655060" cy="571500"/>
            <wp:effectExtent l="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3655060" cy="571500"/>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B.1</w:t>
      </w:r>
      <w:r>
        <w:rPr>
          <w:rFonts w:hint="eastAsia" w:ascii="仿宋" w:hAnsi="仿宋" w:eastAsia="仿宋" w:cs="仿宋"/>
          <w:color w:val="auto"/>
          <w:sz w:val="28"/>
          <w:szCs w:val="28"/>
          <w:highlight w:val="none"/>
          <w:lang w:eastAsia="zh-CN"/>
        </w:rPr>
        <w:t>）</w:t>
      </w:r>
    </w:p>
    <w:p w14:paraId="57F8C642">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式中：</w:t>
      </w:r>
    </w:p>
    <w:p w14:paraId="1A843EED">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default" w:ascii="Times New Roman" w:hAnsi="Times New Roman" w:eastAsia="仿宋" w:cs="Times New Roman"/>
          <w:color w:val="auto"/>
          <w:kern w:val="10"/>
          <w:sz w:val="32"/>
          <w:szCs w:val="32"/>
          <w:highlight w:val="none"/>
          <w:lang w:val="en-US" w:eastAsia="zh-CN"/>
        </w:rPr>
        <w:t>∆</w:t>
      </w:r>
      <w:r>
        <w:rPr>
          <w:rFonts w:hint="default" w:ascii="Times New Roman" w:hAnsi="Times New Roman" w:eastAsia="仿宋" w:cs="Times New Roman"/>
          <w:i/>
          <w:iCs/>
          <w:color w:val="auto"/>
          <w:kern w:val="10"/>
          <w:sz w:val="32"/>
          <w:szCs w:val="32"/>
          <w:highlight w:val="none"/>
          <w:lang w:val="en-US" w:eastAsia="zh-CN"/>
        </w:rPr>
        <w:t>C</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年时，林木生物质碳储量的年变化量，单位为吨二氧化碳当量每年（t 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-e</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a</w:t>
      </w:r>
      <w:r>
        <w:rPr>
          <w:rFonts w:hint="eastAsia" w:ascii="Times New Roman" w:hAnsi="Times New Roman" w:eastAsia="仿宋" w:cs="Times New Roman"/>
          <w:color w:val="auto"/>
          <w:kern w:val="10"/>
          <w:sz w:val="32"/>
          <w:szCs w:val="32"/>
          <w:highlight w:val="none"/>
          <w:vertAlign w:val="superscript"/>
          <w:lang w:val="en-US" w:eastAsia="zh-CN"/>
        </w:rPr>
        <w:t>-1</w:t>
      </w:r>
      <w:r>
        <w:rPr>
          <w:rFonts w:hint="eastAsia" w:ascii="Times New Roman" w:hAnsi="Times New Roman" w:eastAsia="仿宋" w:cs="Times New Roman"/>
          <w:color w:val="auto"/>
          <w:kern w:val="10"/>
          <w:sz w:val="32"/>
          <w:szCs w:val="32"/>
          <w:highlight w:val="none"/>
          <w:lang w:val="en-US" w:eastAsia="zh-CN"/>
        </w:rPr>
        <w:t>）；</w:t>
      </w:r>
    </w:p>
    <w:p w14:paraId="022F7EC4">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default" w:ascii="Times New Roman" w:hAnsi="Times New Roman" w:eastAsia="仿宋" w:cs="Times New Roman"/>
          <w:color w:val="auto"/>
          <w:kern w:val="10"/>
          <w:sz w:val="32"/>
          <w:szCs w:val="32"/>
          <w:highlight w:val="none"/>
          <w:lang w:val="en-US" w:eastAsia="zh-CN"/>
        </w:rPr>
        <w:t>∆</w:t>
      </w:r>
      <w:r>
        <w:rPr>
          <w:rFonts w:hint="default" w:ascii="Times New Roman" w:hAnsi="Times New Roman" w:eastAsia="仿宋" w:cs="Times New Roman"/>
          <w:i/>
          <w:iCs/>
          <w:color w:val="auto"/>
          <w:kern w:val="10"/>
          <w:sz w:val="32"/>
          <w:szCs w:val="32"/>
          <w:highlight w:val="none"/>
          <w:lang w:val="en-US" w:eastAsia="zh-CN"/>
        </w:rPr>
        <w:t>C</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年时，第i碳层林木生物质碳储量的年变化量，单位为吨二氧化碳当量每年（t 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-e</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a</w:t>
      </w:r>
      <w:r>
        <w:rPr>
          <w:rFonts w:hint="eastAsia" w:ascii="Times New Roman" w:hAnsi="Times New Roman" w:eastAsia="仿宋" w:cs="Times New Roman"/>
          <w:color w:val="auto"/>
          <w:kern w:val="10"/>
          <w:sz w:val="32"/>
          <w:szCs w:val="32"/>
          <w:highlight w:val="none"/>
          <w:vertAlign w:val="superscript"/>
          <w:lang w:val="en-US" w:eastAsia="zh-CN"/>
        </w:rPr>
        <w:t>-1</w:t>
      </w:r>
      <w:r>
        <w:rPr>
          <w:rFonts w:hint="eastAsia" w:ascii="Times New Roman" w:hAnsi="Times New Roman" w:eastAsia="仿宋" w:cs="Times New Roman"/>
          <w:color w:val="auto"/>
          <w:kern w:val="10"/>
          <w:sz w:val="32"/>
          <w:szCs w:val="32"/>
          <w:highlight w:val="none"/>
          <w:lang w:val="en-US" w:eastAsia="zh-CN"/>
        </w:rPr>
        <w:t>）；</w:t>
      </w:r>
    </w:p>
    <w:p w14:paraId="64F5C78D">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表示：1，2，3，</w:t>
      </w:r>
      <w:r>
        <w:rPr>
          <w:rFonts w:hint="eastAsia" w:ascii="仿宋" w:hAnsi="仿宋" w:eastAsia="仿宋" w:cs="仿宋"/>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，碳层；</w:t>
      </w:r>
    </w:p>
    <w:p w14:paraId="78F96E21">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表示：自项目开始以后的年数，单位为年（a），这里指自2021年至2025年规划期间的5年；</w:t>
      </w:r>
    </w:p>
    <w:p w14:paraId="27863CF9">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i w:val="0"/>
          <w:iCs w:val="0"/>
          <w:color w:val="auto"/>
          <w:kern w:val="10"/>
          <w:sz w:val="32"/>
          <w:szCs w:val="32"/>
          <w:highlight w:val="none"/>
          <w:vertAlign w:val="subscript"/>
          <w:lang w:val="en-US" w:eastAsia="zh-CN"/>
        </w:rPr>
        <w:t>1</w:t>
      </w:r>
      <w:r>
        <w:rPr>
          <w:rFonts w:hint="eastAsia" w:ascii="Times New Roman" w:hAnsi="Times New Roman" w:eastAsia="仿宋" w:cs="Times New Roman"/>
          <w:color w:val="auto"/>
          <w:kern w:val="10"/>
          <w:sz w:val="32"/>
          <w:szCs w:val="32"/>
          <w:highlight w:val="none"/>
          <w:lang w:val="en-US" w:eastAsia="zh-CN"/>
        </w:rPr>
        <w:t>、</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i w:val="0"/>
          <w:iCs w:val="0"/>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表示：规划基准年（</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vertAlign w:val="subscript"/>
          <w:lang w:val="en-US" w:eastAsia="zh-CN"/>
        </w:rPr>
        <w:t>1</w:t>
      </w:r>
      <w:r>
        <w:rPr>
          <w:rFonts w:hint="eastAsia" w:ascii="Times New Roman" w:hAnsi="Times New Roman" w:eastAsia="仿宋" w:cs="Times New Roman"/>
          <w:color w:val="auto"/>
          <w:kern w:val="10"/>
          <w:sz w:val="32"/>
          <w:szCs w:val="32"/>
          <w:highlight w:val="none"/>
          <w:lang w:val="en-US" w:eastAsia="zh-CN"/>
        </w:rPr>
        <w:t>）和规划实施后的第5年（</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），即2025年；</w:t>
      </w:r>
    </w:p>
    <w:p w14:paraId="5889A716">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firstLine="0" w:firstLineChars="0"/>
        <w:textAlignment w:val="auto"/>
        <w:outlineLvl w:val="9"/>
        <w:rPr>
          <w:rFonts w:hint="eastAsia" w:ascii="仿宋" w:hAnsi="仿宋" w:eastAsia="仿宋" w:cs="仿宋"/>
          <w:color w:val="auto"/>
          <w:sz w:val="28"/>
          <w:szCs w:val="28"/>
          <w:highlight w:val="none"/>
          <w:lang w:eastAsia="zh-CN"/>
        </w:rPr>
      </w:pPr>
      <w:r>
        <w:rPr>
          <w:rFonts w:hint="default" w:ascii="Times New Roman" w:hAnsi="Times New Roman" w:cs="Times New Roman"/>
          <w:color w:val="auto"/>
          <w:sz w:val="28"/>
          <w:szCs w:val="28"/>
          <w:highlight w:val="none"/>
        </w:rPr>
        <w:drawing>
          <wp:inline distT="0" distB="0" distL="114300" distR="114300">
            <wp:extent cx="3357880" cy="604520"/>
            <wp:effectExtent l="0" t="0" r="13970" b="44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9"/>
                    <a:stretch>
                      <a:fillRect/>
                    </a:stretch>
                  </pic:blipFill>
                  <pic:spPr>
                    <a:xfrm>
                      <a:off x="0" y="0"/>
                      <a:ext cx="3357880" cy="604520"/>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w:t>
      </w:r>
      <w:r>
        <w:rPr>
          <w:rFonts w:hint="eastAsia" w:ascii="Times New Roman" w:hAnsi="Times New Roman" w:eastAsia="仿宋" w:cs="Times New Roman"/>
          <w:color w:val="auto"/>
          <w:sz w:val="28"/>
          <w:szCs w:val="28"/>
          <w:highlight w:val="none"/>
          <w:lang w:val="en-US" w:eastAsia="zh-CN"/>
        </w:rPr>
        <w:t>2</w:t>
      </w:r>
      <w:r>
        <w:rPr>
          <w:rFonts w:hint="eastAsia" w:ascii="仿宋" w:hAnsi="仿宋" w:eastAsia="仿宋" w:cs="仿宋"/>
          <w:color w:val="auto"/>
          <w:sz w:val="28"/>
          <w:szCs w:val="28"/>
          <w:highlight w:val="none"/>
          <w:lang w:eastAsia="zh-CN"/>
        </w:rPr>
        <w:t>）</w:t>
      </w:r>
    </w:p>
    <w:p w14:paraId="75F9DD2B">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式中：</w:t>
      </w:r>
    </w:p>
    <w:p w14:paraId="51C90241">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default" w:ascii="Times New Roman" w:hAnsi="Times New Roman" w:eastAsia="仿宋" w:cs="Times New Roman"/>
          <w:i/>
          <w:iCs/>
          <w:color w:val="auto"/>
          <w:kern w:val="10"/>
          <w:sz w:val="32"/>
          <w:szCs w:val="32"/>
          <w:highlight w:val="none"/>
          <w:lang w:val="en-US" w:eastAsia="zh-CN"/>
        </w:rPr>
        <w:t>C</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碳层树种j的生物质碳储量，单位为吨二氧化碳当量（t 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-e）；</w:t>
      </w:r>
    </w:p>
    <w:p w14:paraId="5C4D3782">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B</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的生物量，单位为吨干重（t d.m.）；</w:t>
      </w:r>
    </w:p>
    <w:p w14:paraId="178C2F95">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CF</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的生物量含碳率，单位为吨碳每吨干重</w:t>
      </w:r>
      <w:r>
        <w:rPr>
          <w:rFonts w:hint="default" w:ascii="Times New Roman" w:hAnsi="Times New Roman" w:eastAsia="楷体" w:cs="Times New Roman"/>
          <w:color w:val="auto"/>
          <w:kern w:val="10"/>
          <w:sz w:val="32"/>
          <w:szCs w:val="32"/>
          <w:highlight w:val="none"/>
          <w:lang w:val="en-US" w:eastAsia="zh-CN"/>
        </w:rPr>
        <w:t>[t</w:t>
      </w:r>
      <w:r>
        <w:rPr>
          <w:rFonts w:hint="eastAsia" w:ascii="Times New Roman" w:hAnsi="Times New Roman" w:eastAsia="楷体" w:cs="Times New Roman"/>
          <w:color w:val="auto"/>
          <w:kern w:val="10"/>
          <w:sz w:val="32"/>
          <w:szCs w:val="32"/>
          <w:highlight w:val="none"/>
          <w:lang w:val="en-US" w:eastAsia="zh-CN"/>
        </w:rPr>
        <w:t xml:space="preserve"> C</w:t>
      </w:r>
      <w:r>
        <w:rPr>
          <w:rFonts w:hint="eastAsia" w:ascii="宋体" w:hAnsi="宋体" w:eastAsia="宋体" w:cs="宋体"/>
          <w:color w:val="auto"/>
          <w:kern w:val="10"/>
          <w:sz w:val="32"/>
          <w:szCs w:val="32"/>
          <w:highlight w:val="none"/>
          <w:lang w:val="en-US" w:eastAsia="zh-CN"/>
        </w:rPr>
        <w:t>•</w:t>
      </w:r>
      <w:r>
        <w:rPr>
          <w:rFonts w:hint="eastAsia" w:asciiTheme="minorEastAsia" w:hAnsiTheme="minorEastAsia" w:eastAsiaTheme="minorEastAsia" w:cstheme="minorEastAsia"/>
          <w:color w:val="auto"/>
          <w:kern w:val="10"/>
          <w:sz w:val="32"/>
          <w:szCs w:val="32"/>
          <w:highlight w:val="none"/>
          <w:lang w:val="en-US" w:eastAsia="zh-CN"/>
        </w:rPr>
        <w:t>(</w:t>
      </w:r>
      <w:r>
        <w:rPr>
          <w:rFonts w:hint="default" w:ascii="Times New Roman" w:hAnsi="Times New Roman" w:cs="Times New Roman" w:eastAsiaTheme="minorEastAsia"/>
          <w:color w:val="auto"/>
          <w:kern w:val="10"/>
          <w:sz w:val="32"/>
          <w:szCs w:val="32"/>
          <w:highlight w:val="none"/>
          <w:lang w:val="en-US" w:eastAsia="zh-CN"/>
        </w:rPr>
        <w:t>t</w:t>
      </w:r>
      <w:r>
        <w:rPr>
          <w:rFonts w:hint="eastAsia" w:ascii="Times New Roman" w:hAnsi="Times New Roman" w:cs="Times New Roman" w:eastAsiaTheme="minorEastAsia"/>
          <w:color w:val="auto"/>
          <w:kern w:val="10"/>
          <w:sz w:val="32"/>
          <w:szCs w:val="32"/>
          <w:highlight w:val="none"/>
          <w:lang w:val="en-US" w:eastAsia="zh-CN"/>
        </w:rPr>
        <w:t xml:space="preserve"> d.m.)</w:t>
      </w:r>
      <w:r>
        <w:rPr>
          <w:rFonts w:hint="eastAsia" w:ascii="Times New Roman" w:hAnsi="Times New Roman" w:cs="Times New Roman" w:eastAsiaTheme="minorEastAsia"/>
          <w:color w:val="auto"/>
          <w:kern w:val="10"/>
          <w:sz w:val="32"/>
          <w:szCs w:val="32"/>
          <w:highlight w:val="none"/>
          <w:vertAlign w:val="superscript"/>
          <w:lang w:val="en-US" w:eastAsia="zh-CN"/>
        </w:rPr>
        <w:t>-1</w:t>
      </w:r>
      <w:r>
        <w:rPr>
          <w:rFonts w:hint="default" w:ascii="Times New Roman" w:hAnsi="Times New Roman" w:eastAsia="楷体" w:cs="Times New Roman"/>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w:t>
      </w:r>
    </w:p>
    <w:p w14:paraId="3B3F2EA5">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val="0"/>
          <w:iCs w:val="0"/>
          <w:color w:val="auto"/>
          <w:kern w:val="10"/>
          <w:position w:val="-24"/>
          <w:sz w:val="32"/>
          <w:szCs w:val="32"/>
          <w:highlight w:val="none"/>
          <w:lang w:val="en-US" w:eastAsia="zh-CN"/>
        </w:rPr>
        <w:object>
          <v:shape id="_x0000_i1025" o:spt="75" type="#_x0000_t75" style="height:31pt;width:18pt;" o:ole="t" filled="f" o:preferrelative="t" stroked="f" coordsize="21600,21600">
            <v:path/>
            <v:fill on="f" focussize="0,0"/>
            <v:stroke on="f"/>
            <v:imagedata r:id="rId11" o:title=""/>
            <o:lock v:ext="edit" aspectratio="t"/>
            <w10:wrap type="none"/>
            <w10:anchorlock/>
          </v:shape>
          <o:OLEObject Type="Embed" ProgID="Equation.KSEE3" ShapeID="_x0000_i1025" DrawAspect="Content" ObjectID="_1468075725" r:id="rId10">
            <o:LockedField>false</o:LockedField>
          </o:OLEObject>
        </w:object>
      </w:r>
      <w:r>
        <w:rPr>
          <w:rFonts w:hint="eastAsia" w:ascii="Times New Roman" w:hAnsi="Times New Roman" w:eastAsia="仿宋" w:cs="Times New Roman"/>
          <w:color w:val="auto"/>
          <w:kern w:val="10"/>
          <w:sz w:val="32"/>
          <w:szCs w:val="32"/>
          <w:highlight w:val="none"/>
          <w:lang w:val="en-US" w:eastAsia="zh-CN"/>
        </w:rPr>
        <w:t>表示：CO</w:t>
      </w:r>
      <w:r>
        <w:rPr>
          <w:rFonts w:hint="eastAsia" w:ascii="Times New Roman" w:hAnsi="Times New Roman" w:eastAsia="仿宋" w:cs="Times New Roman"/>
          <w:color w:val="auto"/>
          <w:kern w:val="10"/>
          <w:sz w:val="32"/>
          <w:szCs w:val="32"/>
          <w:highlight w:val="none"/>
          <w:vertAlign w:val="subscript"/>
          <w:lang w:val="en-US" w:eastAsia="zh-CN"/>
        </w:rPr>
        <w:t>2</w:t>
      </w:r>
      <w:r>
        <w:rPr>
          <w:rFonts w:hint="eastAsia" w:ascii="Times New Roman" w:hAnsi="Times New Roman" w:eastAsia="仿宋" w:cs="Times New Roman"/>
          <w:color w:val="auto"/>
          <w:kern w:val="10"/>
          <w:sz w:val="32"/>
          <w:szCs w:val="32"/>
          <w:highlight w:val="none"/>
          <w:lang w:val="en-US" w:eastAsia="zh-CN"/>
        </w:rPr>
        <w:t>与C的相对分子质量之比。</w:t>
      </w:r>
    </w:p>
    <w:p w14:paraId="37073185">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left="0" w:leftChars="0" w:firstLine="0" w:firstLineChars="0"/>
        <w:jc w:val="both"/>
        <w:textAlignment w:val="auto"/>
        <w:outlineLvl w:val="9"/>
        <w:rPr>
          <w:rFonts w:hint="eastAsia" w:ascii="Times New Roman" w:hAnsi="Times New Roman" w:eastAsia="仿宋" w:cs="Times New Roman"/>
          <w:color w:val="auto"/>
          <w:kern w:val="10"/>
          <w:sz w:val="28"/>
          <w:szCs w:val="28"/>
          <w:highlight w:val="none"/>
          <w:lang w:val="en-US" w:eastAsia="zh-CN"/>
        </w:rPr>
      </w:pPr>
      <w:r>
        <w:rPr>
          <w:color w:val="auto"/>
          <w:highlight w:val="none"/>
        </w:rPr>
        <w:drawing>
          <wp:inline distT="0" distB="0" distL="114300" distR="114300">
            <wp:extent cx="4337050" cy="354330"/>
            <wp:effectExtent l="0" t="0" r="0" b="6350"/>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12"/>
                    <a:stretch>
                      <a:fillRect/>
                    </a:stretch>
                  </pic:blipFill>
                  <pic:spPr>
                    <a:xfrm>
                      <a:off x="0" y="0"/>
                      <a:ext cx="4337050" cy="354330"/>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w:t>
      </w:r>
      <w:r>
        <w:rPr>
          <w:rFonts w:hint="eastAsia" w:ascii="Times New Roman" w:hAnsi="Times New Roman" w:eastAsia="仿宋" w:cs="Times New Roman"/>
          <w:color w:val="auto"/>
          <w:sz w:val="28"/>
          <w:szCs w:val="28"/>
          <w:highlight w:val="none"/>
          <w:lang w:val="en-US" w:eastAsia="zh-CN"/>
        </w:rPr>
        <w:t>5</w:t>
      </w:r>
      <w:r>
        <w:rPr>
          <w:rFonts w:hint="eastAsia" w:ascii="仿宋" w:hAnsi="仿宋" w:eastAsia="仿宋" w:cs="仿宋"/>
          <w:color w:val="auto"/>
          <w:sz w:val="28"/>
          <w:szCs w:val="28"/>
          <w:highlight w:val="none"/>
          <w:lang w:eastAsia="zh-CN"/>
        </w:rPr>
        <w:t>）</w:t>
      </w:r>
    </w:p>
    <w:p w14:paraId="463F2329">
      <w:pPr>
        <w:keepNext w:val="0"/>
        <w:keepLines w:val="0"/>
        <w:pageBreakBefore w:val="0"/>
        <w:widowControl w:val="0"/>
        <w:shd w:val="clear"/>
        <w:kinsoku/>
        <w:wordWrap/>
        <w:overflowPunct/>
        <w:topLinePunct w:val="0"/>
        <w:autoSpaceDE/>
        <w:autoSpaceDN/>
        <w:bidi w:val="0"/>
        <w:adjustRightInd/>
        <w:snapToGrid/>
        <w:spacing w:before="157" w:beforeLines="50" w:line="240" w:lineRule="atLeast"/>
        <w:ind w:left="0" w:leftChars="0" w:firstLine="0" w:firstLineChars="0"/>
        <w:jc w:val="both"/>
        <w:textAlignment w:val="auto"/>
        <w:outlineLvl w:val="9"/>
        <w:rPr>
          <w:rFonts w:hint="default" w:ascii="Times New Roman" w:hAnsi="Times New Roman" w:eastAsia="仿宋" w:cs="Times New Roman"/>
          <w:color w:val="auto"/>
          <w:sz w:val="28"/>
          <w:szCs w:val="28"/>
          <w:highlight w:val="none"/>
          <w:lang w:val="en-US" w:eastAsia="zh-CN"/>
        </w:rPr>
      </w:pPr>
    </w:p>
    <w:p w14:paraId="7838B67E">
      <w:pPr>
        <w:keepNext w:val="0"/>
        <w:keepLines w:val="0"/>
        <w:pageBreakBefore w:val="0"/>
        <w:widowControl w:val="0"/>
        <w:shd w:val="clear"/>
        <w:kinsoku/>
        <w:wordWrap/>
        <w:overflowPunct/>
        <w:topLinePunct w:val="0"/>
        <w:autoSpaceDE/>
        <w:autoSpaceDN/>
        <w:bidi w:val="0"/>
        <w:adjustRightInd/>
        <w:snapToGrid/>
        <w:spacing w:line="312" w:lineRule="auto"/>
        <w:ind w:left="825" w:leftChars="0" w:hanging="825"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color w:val="auto"/>
          <w:highlight w:val="none"/>
        </w:rPr>
        <w:drawing>
          <wp:inline distT="0" distB="0" distL="114300" distR="114300">
            <wp:extent cx="4117340" cy="332105"/>
            <wp:effectExtent l="0" t="0" r="16510" b="12065"/>
            <wp:docPr id="1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4"/>
                    <pic:cNvPicPr>
                      <a:picLocks noChangeAspect="1"/>
                    </pic:cNvPicPr>
                  </pic:nvPicPr>
                  <pic:blipFill>
                    <a:blip r:embed="rId13"/>
                    <a:stretch>
                      <a:fillRect/>
                    </a:stretch>
                  </pic:blipFill>
                  <pic:spPr>
                    <a:xfrm>
                      <a:off x="0" y="0"/>
                      <a:ext cx="4117340" cy="332105"/>
                    </a:xfrm>
                    <a:prstGeom prst="rect">
                      <a:avLst/>
                    </a:prstGeom>
                    <a:noFill/>
                    <a:ln w="9525">
                      <a:noFill/>
                    </a:ln>
                  </pic:spPr>
                </pic:pic>
              </a:graphicData>
            </a:graphic>
          </wp:inline>
        </w:drawing>
      </w: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default" w:ascii="Times New Roman" w:hAnsi="Times New Roman" w:eastAsia="仿宋" w:cs="Times New Roman"/>
          <w:color w:val="auto"/>
          <w:sz w:val="28"/>
          <w:szCs w:val="28"/>
          <w:highlight w:val="none"/>
          <w:lang w:val="en-US" w:eastAsia="zh-CN"/>
        </w:rPr>
        <w:t>B.</w:t>
      </w:r>
      <w:r>
        <w:rPr>
          <w:rFonts w:hint="eastAsia" w:ascii="Times New Roman" w:hAnsi="Times New Roman" w:eastAsia="仿宋" w:cs="Times New Roman"/>
          <w:color w:val="auto"/>
          <w:sz w:val="28"/>
          <w:szCs w:val="28"/>
          <w:highlight w:val="none"/>
          <w:lang w:val="en-US" w:eastAsia="zh-CN"/>
        </w:rPr>
        <w:t>5-1</w:t>
      </w:r>
      <w:r>
        <w:rPr>
          <w:rFonts w:hint="eastAsia" w:ascii="仿宋" w:hAnsi="仿宋" w:eastAsia="仿宋" w:cs="仿宋"/>
          <w:color w:val="auto"/>
          <w:sz w:val="28"/>
          <w:szCs w:val="28"/>
          <w:highlight w:val="none"/>
          <w:lang w:eastAsia="zh-CN"/>
        </w:rPr>
        <w:t>）</w:t>
      </w:r>
    </w:p>
    <w:p w14:paraId="42DA0D18">
      <w:pPr>
        <w:keepNext w:val="0"/>
        <w:keepLines w:val="0"/>
        <w:pageBreakBefore w:val="0"/>
        <w:widowControl w:val="0"/>
        <w:shd w:val="clear"/>
        <w:kinsoku/>
        <w:wordWrap/>
        <w:overflowPunct/>
        <w:topLinePunct w:val="0"/>
        <w:autoSpaceDE/>
        <w:autoSpaceDN/>
        <w:bidi w:val="0"/>
        <w:adjustRightInd/>
        <w:snapToGrid/>
        <w:spacing w:line="312" w:lineRule="auto"/>
        <w:ind w:firstLine="0" w:firstLineChars="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式中：</w:t>
      </w:r>
    </w:p>
    <w:p w14:paraId="51999CDA">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V</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碳层树种j的立木材积，单位为立方米每株（m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株</w:t>
      </w:r>
      <w:r>
        <w:rPr>
          <w:rFonts w:hint="eastAsia" w:ascii="Times New Roman" w:hAnsi="Times New Roman" w:eastAsia="仿宋" w:cs="Times New Roman"/>
          <w:color w:val="auto"/>
          <w:kern w:val="10"/>
          <w:sz w:val="32"/>
          <w:szCs w:val="32"/>
          <w:highlight w:val="none"/>
          <w:vertAlign w:val="superscript"/>
          <w:lang w:val="en-US" w:eastAsia="zh-CN"/>
        </w:rPr>
        <w:t>-1</w:t>
      </w:r>
      <w:r>
        <w:rPr>
          <w:rFonts w:hint="eastAsia" w:ascii="Times New Roman" w:hAnsi="Times New Roman" w:eastAsia="仿宋" w:cs="Times New Roman"/>
          <w:color w:val="auto"/>
          <w:kern w:val="10"/>
          <w:sz w:val="32"/>
          <w:szCs w:val="32"/>
          <w:highlight w:val="none"/>
          <w:lang w:val="en-US" w:eastAsia="zh-CN"/>
        </w:rPr>
        <w:t>）；</w:t>
      </w:r>
    </w:p>
    <w:p w14:paraId="2B0D76FA">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N</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碳层树种j的株数，单位为株每公顷（株</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hm</w:t>
      </w:r>
      <w:r>
        <w:rPr>
          <w:rFonts w:hint="eastAsia" w:ascii="Times New Roman" w:hAnsi="Times New Roman" w:eastAsia="仿宋" w:cs="Times New Roman"/>
          <w:color w:val="auto"/>
          <w:kern w:val="10"/>
          <w:sz w:val="32"/>
          <w:szCs w:val="32"/>
          <w:highlight w:val="none"/>
          <w:vertAlign w:val="superscript"/>
          <w:lang w:val="en-US" w:eastAsia="zh-CN"/>
        </w:rPr>
        <w:t>-2</w:t>
      </w:r>
      <w:r>
        <w:rPr>
          <w:rFonts w:hint="eastAsia" w:ascii="Times New Roman" w:hAnsi="Times New Roman" w:eastAsia="仿宋" w:cs="Times New Roman"/>
          <w:color w:val="auto"/>
          <w:kern w:val="10"/>
          <w:sz w:val="32"/>
          <w:szCs w:val="32"/>
          <w:highlight w:val="none"/>
          <w:lang w:val="en-US" w:eastAsia="zh-CN"/>
        </w:rPr>
        <w:t>）；</w:t>
      </w:r>
    </w:p>
    <w:p w14:paraId="08B768C3">
      <w:pPr>
        <w:keepNext w:val="0"/>
        <w:keepLines w:val="0"/>
        <w:pageBreakBefore w:val="0"/>
        <w:widowControl w:val="0"/>
        <w:shd w:val="clear"/>
        <w:kinsoku/>
        <w:wordWrap/>
        <w:overflowPunct/>
        <w:topLinePunct w:val="0"/>
        <w:autoSpaceDE/>
        <w:autoSpaceDN/>
        <w:bidi w:val="0"/>
        <w:adjustRightInd/>
        <w:snapToGrid/>
        <w:spacing w:line="312" w:lineRule="auto"/>
        <w:ind w:left="1276" w:leftChars="0" w:hanging="1276" w:hangingChars="399"/>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A</w:t>
      </w:r>
      <w:r>
        <w:rPr>
          <w:rFonts w:hint="eastAsia" w:ascii="Times New Roman" w:hAnsi="Times New Roman" w:eastAsia="仿宋" w:cs="Times New Roman"/>
          <w:i/>
          <w:iCs/>
          <w:color w:val="auto"/>
          <w:kern w:val="10"/>
          <w:sz w:val="32"/>
          <w:szCs w:val="32"/>
          <w:highlight w:val="none"/>
          <w:vertAlign w:val="subscript"/>
          <w:lang w:val="en-US" w:eastAsia="zh-CN"/>
        </w:rPr>
        <w:t xml:space="preserve"> i</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t</w:t>
      </w:r>
      <w:r>
        <w:rPr>
          <w:rFonts w:hint="eastAsia" w:ascii="Times New Roman" w:hAnsi="Times New Roman" w:eastAsia="仿宋" w:cs="Times New Roman"/>
          <w:color w:val="auto"/>
          <w:kern w:val="10"/>
          <w:sz w:val="32"/>
          <w:szCs w:val="32"/>
          <w:highlight w:val="none"/>
          <w:lang w:val="en-US" w:eastAsia="zh-CN"/>
        </w:rPr>
        <w:t>表示：第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碳层的面积，单位为公顷（hm</w:t>
      </w:r>
      <w:r>
        <w:rPr>
          <w:rFonts w:hint="eastAsia" w:ascii="Times New Roman" w:hAnsi="Times New Roman" w:eastAsia="仿宋" w:cs="Times New Roman"/>
          <w:color w:val="auto"/>
          <w:kern w:val="10"/>
          <w:sz w:val="32"/>
          <w:szCs w:val="32"/>
          <w:highlight w:val="none"/>
          <w:vertAlign w:val="superscript"/>
          <w:lang w:val="en-US" w:eastAsia="zh-CN"/>
        </w:rPr>
        <w:t>2</w:t>
      </w:r>
      <w:r>
        <w:rPr>
          <w:rFonts w:hint="eastAsia" w:ascii="Times New Roman" w:hAnsi="Times New Roman" w:eastAsia="仿宋" w:cs="Times New Roman"/>
          <w:color w:val="auto"/>
          <w:kern w:val="10"/>
          <w:sz w:val="32"/>
          <w:szCs w:val="32"/>
          <w:highlight w:val="none"/>
          <w:lang w:val="en-US" w:eastAsia="zh-CN"/>
        </w:rPr>
        <w:t>）；</w:t>
      </w:r>
    </w:p>
    <w:p w14:paraId="33055A69">
      <w:pPr>
        <w:keepNext w:val="0"/>
        <w:keepLines w:val="0"/>
        <w:pageBreakBefore w:val="0"/>
        <w:widowControl w:val="0"/>
        <w:shd w:val="clear"/>
        <w:kinsoku/>
        <w:wordWrap/>
        <w:overflowPunct/>
        <w:topLinePunct w:val="0"/>
        <w:autoSpaceDE/>
        <w:autoSpaceDN/>
        <w:bidi w:val="0"/>
        <w:adjustRightInd/>
        <w:snapToGrid/>
        <w:spacing w:before="157" w:beforeLines="50" w:line="312" w:lineRule="auto"/>
        <w:ind w:left="1276" w:leftChars="0" w:hanging="1276" w:hangingChars="399"/>
        <w:textAlignment w:val="auto"/>
        <w:outlineLvl w:val="9"/>
        <w:rPr>
          <w:rFonts w:hint="eastAsia" w:ascii="仿宋" w:hAnsi="仿宋" w:eastAsia="仿宋" w:cs="仿宋"/>
          <w:color w:val="auto"/>
          <w:kern w:val="10"/>
          <w:sz w:val="32"/>
          <w:szCs w:val="32"/>
          <w:highlight w:val="none"/>
          <w:lang w:val="en-US" w:eastAsia="zh-CN"/>
        </w:rPr>
      </w:pPr>
      <w:r>
        <w:rPr>
          <w:rFonts w:hint="eastAsia" w:ascii="仿宋" w:hAnsi="仿宋" w:eastAsia="仿宋" w:cs="仿宋"/>
          <w:color w:val="auto"/>
          <w:sz w:val="32"/>
          <w:szCs w:val="32"/>
          <w:highlight w:val="none"/>
        </w:rPr>
        <w:drawing>
          <wp:inline distT="0" distB="0" distL="114300" distR="114300">
            <wp:extent cx="2169795" cy="354330"/>
            <wp:effectExtent l="0" t="0" r="0" b="635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2"/>
                    <a:srcRect l="49751" r="220"/>
                    <a:stretch>
                      <a:fillRect/>
                    </a:stretch>
                  </pic:blipFill>
                  <pic:spPr>
                    <a:xfrm>
                      <a:off x="0" y="0"/>
                      <a:ext cx="2169795" cy="354330"/>
                    </a:xfrm>
                    <a:prstGeom prst="rect">
                      <a:avLst/>
                    </a:prstGeom>
                    <a:noFill/>
                    <a:ln w="9525">
                      <a:noFill/>
                    </a:ln>
                  </pic:spPr>
                </pic:pic>
              </a:graphicData>
            </a:graphic>
          </wp:inline>
        </w:drawing>
      </w:r>
      <w:r>
        <w:rPr>
          <w:rFonts w:hint="eastAsia" w:ascii="仿宋" w:hAnsi="仿宋" w:eastAsia="仿宋" w:cs="仿宋"/>
          <w:color w:val="auto"/>
          <w:sz w:val="32"/>
          <w:szCs w:val="32"/>
          <w:highlight w:val="none"/>
          <w:lang w:val="en-US" w:eastAsia="zh-CN"/>
        </w:rPr>
        <w:t>表示：</w:t>
      </w:r>
      <w:r>
        <w:rPr>
          <w:rFonts w:hint="eastAsia" w:ascii="Times New Roman" w:hAnsi="Times New Roman" w:eastAsia="仿宋" w:cs="Times New Roman"/>
          <w:color w:val="auto"/>
          <w:kern w:val="10"/>
          <w:sz w:val="32"/>
          <w:szCs w:val="32"/>
          <w:highlight w:val="none"/>
          <w:lang w:val="en-US" w:eastAsia="zh-CN"/>
        </w:rPr>
        <w:t>第</w:t>
      </w:r>
      <w:r>
        <w:rPr>
          <w:rFonts w:hint="eastAsia" w:ascii="Times New Roman" w:hAnsi="Times New Roman" w:eastAsia="仿宋" w:cs="Times New Roman"/>
          <w:i/>
          <w:iCs/>
          <w:color w:val="auto"/>
          <w:kern w:val="10"/>
          <w:sz w:val="32"/>
          <w:szCs w:val="32"/>
          <w:highlight w:val="none"/>
          <w:lang w:val="en-US" w:eastAsia="zh-CN"/>
        </w:rPr>
        <w:t>t</w:t>
      </w:r>
      <w:r>
        <w:rPr>
          <w:rFonts w:hint="eastAsia" w:ascii="Times New Roman" w:hAnsi="Times New Roman" w:eastAsia="仿宋" w:cs="Times New Roman"/>
          <w:color w:val="auto"/>
          <w:kern w:val="10"/>
          <w:sz w:val="32"/>
          <w:szCs w:val="32"/>
          <w:highlight w:val="none"/>
          <w:lang w:val="en-US" w:eastAsia="zh-CN"/>
        </w:rPr>
        <w:t>年时，第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的活立木总蓄积量，单位为立方米（m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Times New Roman" w:hAnsi="Times New Roman" w:eastAsia="仿宋" w:cs="Times New Roman"/>
          <w:color w:val="auto"/>
          <w:kern w:val="10"/>
          <w:sz w:val="32"/>
          <w:szCs w:val="32"/>
          <w:highlight w:val="none"/>
          <w:lang w:val="en-US" w:eastAsia="zh-CN"/>
        </w:rPr>
        <w:t>）；</w:t>
      </w:r>
    </w:p>
    <w:p w14:paraId="34F7A27D">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BCEF</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的生物量转换与扩展因子，单位为吨干重每立方米（t d.m</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Times New Roman" w:hAnsi="Times New Roman" w:eastAsia="仿宋" w:cs="Times New Roman"/>
          <w:color w:val="auto"/>
          <w:kern w:val="10"/>
          <w:sz w:val="32"/>
          <w:szCs w:val="32"/>
          <w:highlight w:val="none"/>
          <w:lang w:val="en-US" w:eastAsia="zh-CN"/>
        </w:rPr>
        <w:t>），用于将立木材积转化为林木全株生物量；</w:t>
      </w:r>
    </w:p>
    <w:p w14:paraId="76665B41">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BEF</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的生物量扩展因子，无量纲，用于将林木树干生物量转化为林木地上生物量；</w:t>
      </w:r>
    </w:p>
    <w:p w14:paraId="6C76D4F1">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D</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的基本木材密度（带皮），单位为吨干重每立方米（t d.m</w:t>
      </w:r>
      <w:r>
        <w:rPr>
          <w:rFonts w:hint="eastAsia" w:ascii="宋体" w:hAnsi="宋体" w:eastAsia="宋体" w:cs="宋体"/>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m</w:t>
      </w:r>
      <w:r>
        <w:rPr>
          <w:rFonts w:hint="eastAsia" w:ascii="Times New Roman" w:hAnsi="Times New Roman" w:eastAsia="仿宋" w:cs="Times New Roman"/>
          <w:color w:val="auto"/>
          <w:kern w:val="10"/>
          <w:sz w:val="32"/>
          <w:szCs w:val="32"/>
          <w:highlight w:val="none"/>
          <w:vertAlign w:val="superscript"/>
          <w:lang w:val="en-US" w:eastAsia="zh-CN"/>
        </w:rPr>
        <w:t>-3</w:t>
      </w:r>
      <w:r>
        <w:rPr>
          <w:rFonts w:hint="eastAsia" w:ascii="Times New Roman" w:hAnsi="Times New Roman" w:eastAsia="仿宋" w:cs="Times New Roman"/>
          <w:color w:val="auto"/>
          <w:kern w:val="10"/>
          <w:sz w:val="32"/>
          <w:szCs w:val="32"/>
          <w:highlight w:val="none"/>
          <w:lang w:val="en-US" w:eastAsia="zh-CN"/>
        </w:rPr>
        <w:t>）；</w:t>
      </w:r>
    </w:p>
    <w:p w14:paraId="56B55285">
      <w:pPr>
        <w:keepNext w:val="0"/>
        <w:keepLines w:val="0"/>
        <w:pageBreakBefore w:val="0"/>
        <w:widowControl w:val="0"/>
        <w:shd w:val="clear"/>
        <w:kinsoku/>
        <w:wordWrap/>
        <w:overflowPunct/>
        <w:topLinePunct w:val="0"/>
        <w:autoSpaceDE/>
        <w:autoSpaceDN/>
        <w:bidi w:val="0"/>
        <w:adjustRightInd/>
        <w:snapToGrid/>
        <w:spacing w:line="312" w:lineRule="auto"/>
        <w:ind w:left="1257" w:leftChars="0" w:hanging="1257" w:hangingChars="393"/>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R</w:t>
      </w:r>
      <w:r>
        <w:rPr>
          <w:rFonts w:hint="eastAsia" w:ascii="Times New Roman" w:hAnsi="Times New Roman" w:eastAsia="仿宋" w:cs="Times New Roman"/>
          <w:color w:val="auto"/>
          <w:kern w:val="10"/>
          <w:sz w:val="32"/>
          <w:szCs w:val="32"/>
          <w:highlight w:val="none"/>
          <w:vertAlign w:val="subscript"/>
          <w:lang w:val="en-US" w:eastAsia="zh-CN"/>
        </w:rPr>
        <w:t>TREE</w:t>
      </w:r>
      <w:r>
        <w:rPr>
          <w:rFonts w:hint="default" w:ascii="Times New Roman" w:hAnsi="Times New Roman" w:eastAsia="仿宋" w:cs="Times New Roman"/>
          <w:i/>
          <w:iCs/>
          <w:color w:val="auto"/>
          <w:kern w:val="10"/>
          <w:sz w:val="32"/>
          <w:szCs w:val="32"/>
          <w:highlight w:val="none"/>
          <w:vertAlign w:val="subscript"/>
          <w:lang w:val="en-US" w:eastAsia="zh-CN"/>
        </w:rPr>
        <w:t>·</w:t>
      </w:r>
      <w:r>
        <w:rPr>
          <w:rFonts w:hint="eastAsia" w:ascii="Times New Roman" w:hAnsi="Times New Roman" w:eastAsia="仿宋" w:cs="Times New Roman"/>
          <w:i/>
          <w:iCs/>
          <w:color w:val="auto"/>
          <w:kern w:val="10"/>
          <w:sz w:val="32"/>
          <w:szCs w:val="32"/>
          <w:highlight w:val="none"/>
          <w:vertAlign w:val="subscript"/>
          <w:lang w:val="en-US" w:eastAsia="zh-CN"/>
        </w:rPr>
        <w:t>j</w:t>
      </w:r>
      <w:r>
        <w:rPr>
          <w:rFonts w:hint="eastAsia" w:ascii="Times New Roman" w:hAnsi="Times New Roman" w:eastAsia="仿宋" w:cs="Times New Roman"/>
          <w:color w:val="auto"/>
          <w:kern w:val="10"/>
          <w:sz w:val="32"/>
          <w:szCs w:val="32"/>
          <w:highlight w:val="none"/>
          <w:lang w:val="en-US" w:eastAsia="zh-CN"/>
        </w:rPr>
        <w:t>表示：树种</w:t>
      </w:r>
      <w:r>
        <w:rPr>
          <w:rFonts w:hint="eastAsia" w:ascii="Times New Roman" w:hAnsi="Times New Roman" w:eastAsia="仿宋" w:cs="Times New Roman"/>
          <w:i/>
          <w:iCs/>
          <w:color w:val="auto"/>
          <w:kern w:val="10"/>
          <w:sz w:val="32"/>
          <w:szCs w:val="32"/>
          <w:highlight w:val="none"/>
          <w:lang w:val="en-US" w:eastAsia="zh-CN"/>
        </w:rPr>
        <w:t>j</w:t>
      </w:r>
      <w:r>
        <w:rPr>
          <w:rFonts w:hint="eastAsia" w:ascii="Times New Roman" w:hAnsi="Times New Roman" w:eastAsia="仿宋" w:cs="Times New Roman"/>
          <w:color w:val="auto"/>
          <w:kern w:val="10"/>
          <w:sz w:val="32"/>
          <w:szCs w:val="32"/>
          <w:highlight w:val="none"/>
          <w:lang w:val="en-US" w:eastAsia="zh-CN"/>
        </w:rPr>
        <w:t>的地下生物量/地上生物量之比；</w:t>
      </w:r>
    </w:p>
    <w:p w14:paraId="14EA865D">
      <w:pPr>
        <w:keepNext w:val="0"/>
        <w:keepLines w:val="0"/>
        <w:pageBreakBefore w:val="0"/>
        <w:widowControl w:val="0"/>
        <w:shd w:val="clear"/>
        <w:kinsoku/>
        <w:wordWrap/>
        <w:overflowPunct/>
        <w:topLinePunct w:val="0"/>
        <w:autoSpaceDE/>
        <w:autoSpaceDN/>
        <w:bidi w:val="0"/>
        <w:adjustRightInd/>
        <w:snapToGrid/>
        <w:spacing w:line="312" w:lineRule="auto"/>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i/>
          <w:iCs/>
          <w:color w:val="auto"/>
          <w:kern w:val="10"/>
          <w:sz w:val="32"/>
          <w:szCs w:val="32"/>
          <w:highlight w:val="none"/>
          <w:lang w:val="en-US" w:eastAsia="zh-CN"/>
        </w:rPr>
        <w:t xml:space="preserve">j     </w:t>
      </w:r>
      <w:r>
        <w:rPr>
          <w:rFonts w:hint="eastAsia" w:ascii="Times New Roman" w:hAnsi="Times New Roman" w:eastAsia="仿宋" w:cs="Times New Roman"/>
          <w:color w:val="auto"/>
          <w:kern w:val="10"/>
          <w:sz w:val="32"/>
          <w:szCs w:val="32"/>
          <w:highlight w:val="none"/>
          <w:lang w:val="en-US" w:eastAsia="zh-CN"/>
        </w:rPr>
        <w:t>表示：1，2，3，</w:t>
      </w:r>
      <w:r>
        <w:rPr>
          <w:rFonts w:hint="eastAsia" w:ascii="仿宋" w:hAnsi="仿宋" w:eastAsia="仿宋" w:cs="仿宋"/>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，第</w:t>
      </w:r>
      <w:r>
        <w:rPr>
          <w:rFonts w:hint="eastAsia" w:ascii="Times New Roman" w:hAnsi="Times New Roman" w:eastAsia="仿宋" w:cs="Times New Roman"/>
          <w:i/>
          <w:iCs/>
          <w:color w:val="auto"/>
          <w:kern w:val="10"/>
          <w:sz w:val="32"/>
          <w:szCs w:val="32"/>
          <w:highlight w:val="none"/>
          <w:lang w:val="en-US" w:eastAsia="zh-CN"/>
        </w:rPr>
        <w:t>i</w:t>
      </w:r>
      <w:r>
        <w:rPr>
          <w:rFonts w:hint="eastAsia" w:ascii="Times New Roman" w:hAnsi="Times New Roman" w:eastAsia="仿宋" w:cs="Times New Roman"/>
          <w:color w:val="auto"/>
          <w:kern w:val="10"/>
          <w:sz w:val="32"/>
          <w:szCs w:val="32"/>
          <w:highlight w:val="none"/>
          <w:lang w:val="en-US" w:eastAsia="zh-CN"/>
        </w:rPr>
        <w:t>碳层中的树种。</w:t>
      </w:r>
    </w:p>
    <w:p w14:paraId="606E1B4F">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14:paraId="4B95EE32">
      <w:pPr>
        <w:pStyle w:val="14"/>
        <w:keepNext w:val="0"/>
        <w:keepLines w:val="0"/>
        <w:pageBreakBefore w:val="0"/>
        <w:widowControl w:val="0"/>
        <w:shd w:val="clear"/>
        <w:kinsoku/>
        <w:wordWrap/>
        <w:overflowPunct/>
        <w:topLinePunct w:val="0"/>
        <w:autoSpaceDE/>
        <w:autoSpaceDN/>
        <w:bidi w:val="0"/>
        <w:adjustRightInd/>
        <w:snapToGrid/>
        <w:spacing w:before="157" w:beforeLines="50" w:after="0"/>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表2        赣州市乔木林各优势树种蓄积量表</w:t>
      </w:r>
    </w:p>
    <w:tbl>
      <w:tblPr>
        <w:tblStyle w:val="15"/>
        <w:tblW w:w="82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2229"/>
        <w:gridCol w:w="3822"/>
        <w:gridCol w:w="2229"/>
      </w:tblGrid>
      <w:tr w14:paraId="50C17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7" w:hRule="atLeast"/>
        </w:trPr>
        <w:tc>
          <w:tcPr>
            <w:tcW w:w="2229" w:type="dxa"/>
            <w:shd w:val="clear" w:color="auto" w:fill="auto"/>
            <w:vAlign w:val="center"/>
          </w:tcPr>
          <w:p w14:paraId="5C1D267A">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树种</w:t>
            </w:r>
          </w:p>
        </w:tc>
        <w:tc>
          <w:tcPr>
            <w:tcW w:w="3822" w:type="dxa"/>
            <w:shd w:val="clear" w:color="auto" w:fill="auto"/>
            <w:vAlign w:val="center"/>
          </w:tcPr>
          <w:p w14:paraId="4541720A">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蓄积量（立方米）</w:t>
            </w:r>
          </w:p>
        </w:tc>
        <w:tc>
          <w:tcPr>
            <w:tcW w:w="2229" w:type="dxa"/>
            <w:shd w:val="clear" w:color="auto" w:fill="auto"/>
            <w:vAlign w:val="center"/>
          </w:tcPr>
          <w:p w14:paraId="7E7E7E0D">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百分比</w:t>
            </w:r>
          </w:p>
        </w:tc>
      </w:tr>
      <w:tr w14:paraId="7F63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229" w:type="dxa"/>
            <w:shd w:val="clear" w:color="auto" w:fill="auto"/>
            <w:vAlign w:val="center"/>
          </w:tcPr>
          <w:p w14:paraId="542EFE21">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马尾松</w:t>
            </w:r>
          </w:p>
        </w:tc>
        <w:tc>
          <w:tcPr>
            <w:tcW w:w="3822" w:type="dxa"/>
            <w:shd w:val="clear" w:color="auto" w:fill="auto"/>
            <w:vAlign w:val="center"/>
          </w:tcPr>
          <w:p w14:paraId="157AA072">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37053637</w:t>
            </w:r>
          </w:p>
        </w:tc>
        <w:tc>
          <w:tcPr>
            <w:tcW w:w="2229" w:type="dxa"/>
            <w:shd w:val="clear" w:color="auto" w:fill="auto"/>
            <w:vAlign w:val="center"/>
          </w:tcPr>
          <w:p w14:paraId="2F0B0CE5">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19.05 </w:t>
            </w:r>
          </w:p>
        </w:tc>
      </w:tr>
      <w:tr w14:paraId="144B5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229" w:type="dxa"/>
            <w:shd w:val="clear" w:color="auto" w:fill="auto"/>
            <w:vAlign w:val="center"/>
          </w:tcPr>
          <w:p w14:paraId="0DD670B7">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国外松</w:t>
            </w:r>
          </w:p>
        </w:tc>
        <w:tc>
          <w:tcPr>
            <w:tcW w:w="3822" w:type="dxa"/>
            <w:shd w:val="clear" w:color="auto" w:fill="auto"/>
            <w:vAlign w:val="center"/>
          </w:tcPr>
          <w:p w14:paraId="12295126">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4291051</w:t>
            </w:r>
          </w:p>
        </w:tc>
        <w:tc>
          <w:tcPr>
            <w:tcW w:w="2229" w:type="dxa"/>
            <w:shd w:val="clear" w:color="auto" w:fill="auto"/>
            <w:vAlign w:val="center"/>
          </w:tcPr>
          <w:p w14:paraId="4A1489FF">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2.20 </w:t>
            </w:r>
          </w:p>
        </w:tc>
      </w:tr>
      <w:tr w14:paraId="3132F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229" w:type="dxa"/>
            <w:shd w:val="clear" w:color="auto" w:fill="auto"/>
            <w:vAlign w:val="center"/>
          </w:tcPr>
          <w:p w14:paraId="54EA94E1">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杉木</w:t>
            </w:r>
          </w:p>
        </w:tc>
        <w:tc>
          <w:tcPr>
            <w:tcW w:w="3822" w:type="dxa"/>
            <w:shd w:val="clear" w:color="auto" w:fill="auto"/>
            <w:vAlign w:val="center"/>
          </w:tcPr>
          <w:p w14:paraId="376F856B">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36369302</w:t>
            </w:r>
          </w:p>
        </w:tc>
        <w:tc>
          <w:tcPr>
            <w:tcW w:w="2229" w:type="dxa"/>
            <w:shd w:val="clear" w:color="auto" w:fill="auto"/>
            <w:vAlign w:val="center"/>
          </w:tcPr>
          <w:p w14:paraId="0AA884DC">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18.70 </w:t>
            </w:r>
          </w:p>
        </w:tc>
      </w:tr>
      <w:tr w14:paraId="22A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229" w:type="dxa"/>
            <w:shd w:val="clear" w:color="auto" w:fill="auto"/>
            <w:vAlign w:val="center"/>
          </w:tcPr>
          <w:p w14:paraId="52CFFCCD">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硬阔类</w:t>
            </w:r>
          </w:p>
        </w:tc>
        <w:tc>
          <w:tcPr>
            <w:tcW w:w="3822" w:type="dxa"/>
            <w:shd w:val="clear" w:color="auto" w:fill="auto"/>
            <w:vAlign w:val="center"/>
          </w:tcPr>
          <w:p w14:paraId="7B8E0CD9">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9212583</w:t>
            </w:r>
          </w:p>
        </w:tc>
        <w:tc>
          <w:tcPr>
            <w:tcW w:w="2229" w:type="dxa"/>
            <w:shd w:val="clear" w:color="auto" w:fill="auto"/>
            <w:vAlign w:val="center"/>
          </w:tcPr>
          <w:p w14:paraId="27EED098">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4.73 </w:t>
            </w:r>
          </w:p>
        </w:tc>
      </w:tr>
      <w:tr w14:paraId="4D17B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98" w:hRule="atLeast"/>
        </w:trPr>
        <w:tc>
          <w:tcPr>
            <w:tcW w:w="2229" w:type="dxa"/>
            <w:shd w:val="clear" w:color="auto" w:fill="auto"/>
            <w:vAlign w:val="center"/>
          </w:tcPr>
          <w:p w14:paraId="799AB03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软阔类</w:t>
            </w:r>
          </w:p>
        </w:tc>
        <w:tc>
          <w:tcPr>
            <w:tcW w:w="3822" w:type="dxa"/>
            <w:shd w:val="clear" w:color="auto" w:fill="auto"/>
            <w:vAlign w:val="center"/>
          </w:tcPr>
          <w:p w14:paraId="70434A77">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2581431</w:t>
            </w:r>
          </w:p>
        </w:tc>
        <w:tc>
          <w:tcPr>
            <w:tcW w:w="2229" w:type="dxa"/>
            <w:shd w:val="clear" w:color="auto" w:fill="auto"/>
            <w:vAlign w:val="center"/>
          </w:tcPr>
          <w:p w14:paraId="0A05B2BC">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1.33 </w:t>
            </w:r>
          </w:p>
        </w:tc>
      </w:tr>
      <w:tr w14:paraId="22135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75" w:hRule="atLeast"/>
        </w:trPr>
        <w:tc>
          <w:tcPr>
            <w:tcW w:w="2229" w:type="dxa"/>
            <w:shd w:val="clear" w:color="auto" w:fill="auto"/>
            <w:vAlign w:val="center"/>
          </w:tcPr>
          <w:p w14:paraId="14E3CE98">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混交类</w:t>
            </w:r>
          </w:p>
        </w:tc>
        <w:tc>
          <w:tcPr>
            <w:tcW w:w="3822" w:type="dxa"/>
            <w:shd w:val="clear" w:color="auto" w:fill="auto"/>
            <w:vAlign w:val="center"/>
          </w:tcPr>
          <w:p w14:paraId="0A49CBB1">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105018517</w:t>
            </w:r>
          </w:p>
        </w:tc>
        <w:tc>
          <w:tcPr>
            <w:tcW w:w="2229" w:type="dxa"/>
            <w:shd w:val="clear" w:color="auto" w:fill="auto"/>
            <w:vAlign w:val="center"/>
          </w:tcPr>
          <w:p w14:paraId="77292ED6">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 xml:space="preserve">53.99 </w:t>
            </w:r>
          </w:p>
        </w:tc>
      </w:tr>
      <w:tr w14:paraId="2D955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04" w:hRule="atLeast"/>
        </w:trPr>
        <w:tc>
          <w:tcPr>
            <w:tcW w:w="2229" w:type="dxa"/>
            <w:shd w:val="clear" w:color="auto" w:fill="auto"/>
            <w:vAlign w:val="center"/>
          </w:tcPr>
          <w:p w14:paraId="65321112">
            <w:pPr>
              <w:keepNext w:val="0"/>
              <w:keepLines w:val="0"/>
              <w:widowControl/>
              <w:suppressLineNumbers w:val="0"/>
              <w:jc w:val="center"/>
              <w:textAlignment w:val="center"/>
              <w:rPr>
                <w:rFonts w:hint="eastAsia" w:ascii="宋体" w:hAnsi="宋体" w:eastAsia="宋体" w:cs="宋体"/>
                <w:b/>
                <w:bCs/>
                <w:i w:val="0"/>
                <w:color w:val="auto"/>
                <w:kern w:val="0"/>
                <w:sz w:val="24"/>
                <w:szCs w:val="24"/>
                <w:highlight w:val="none"/>
                <w:u w:val="none"/>
                <w:lang w:val="en-US" w:eastAsia="zh-CN" w:bidi="ar"/>
              </w:rPr>
            </w:pPr>
            <w:r>
              <w:rPr>
                <w:rFonts w:hint="eastAsia" w:ascii="宋体" w:hAnsi="宋体" w:eastAsia="宋体" w:cs="宋体"/>
                <w:b/>
                <w:bCs/>
                <w:i w:val="0"/>
                <w:color w:val="auto"/>
                <w:kern w:val="0"/>
                <w:sz w:val="24"/>
                <w:szCs w:val="24"/>
                <w:highlight w:val="none"/>
                <w:u w:val="none"/>
                <w:lang w:val="en-US" w:eastAsia="zh-CN" w:bidi="ar"/>
              </w:rPr>
              <w:t>合计</w:t>
            </w:r>
          </w:p>
        </w:tc>
        <w:tc>
          <w:tcPr>
            <w:tcW w:w="3822" w:type="dxa"/>
            <w:shd w:val="clear" w:color="auto" w:fill="auto"/>
            <w:vAlign w:val="center"/>
          </w:tcPr>
          <w:p w14:paraId="0328AC0A">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194526521</w:t>
            </w:r>
          </w:p>
        </w:tc>
        <w:tc>
          <w:tcPr>
            <w:tcW w:w="2229" w:type="dxa"/>
            <w:shd w:val="clear" w:color="auto" w:fill="auto"/>
            <w:vAlign w:val="center"/>
          </w:tcPr>
          <w:p w14:paraId="57B76B2A">
            <w:pPr>
              <w:keepNext w:val="0"/>
              <w:keepLines w:val="0"/>
              <w:widowControl/>
              <w:suppressLineNumbers w:val="0"/>
              <w:jc w:val="center"/>
              <w:textAlignment w:val="center"/>
              <w:rPr>
                <w:rFonts w:hint="default" w:ascii="Times New Roman" w:hAnsi="Times New Roman" w:eastAsia="宋体" w:cs="Times New Roman"/>
                <w:b/>
                <w:bCs/>
                <w:i w:val="0"/>
                <w:color w:val="auto"/>
                <w:kern w:val="0"/>
                <w:sz w:val="24"/>
                <w:szCs w:val="24"/>
                <w:highlight w:val="none"/>
                <w:u w:val="none"/>
                <w:lang w:val="en-US" w:eastAsia="zh-CN" w:bidi="ar"/>
              </w:rPr>
            </w:pPr>
            <w:r>
              <w:rPr>
                <w:rFonts w:hint="default" w:ascii="Times New Roman" w:hAnsi="Times New Roman" w:eastAsia="宋体" w:cs="Times New Roman"/>
                <w:b/>
                <w:bCs/>
                <w:i w:val="0"/>
                <w:color w:val="auto"/>
                <w:kern w:val="0"/>
                <w:sz w:val="24"/>
                <w:szCs w:val="24"/>
                <w:highlight w:val="none"/>
                <w:u w:val="none"/>
                <w:lang w:val="en-US" w:eastAsia="zh-CN" w:bidi="ar"/>
              </w:rPr>
              <w:t xml:space="preserve">100.00 </w:t>
            </w:r>
          </w:p>
        </w:tc>
      </w:tr>
    </w:tbl>
    <w:p w14:paraId="4C5E0A32">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14:paraId="1CC16930">
      <w:pPr>
        <w:pStyle w:val="14"/>
        <w:keepNext w:val="0"/>
        <w:keepLines w:val="0"/>
        <w:pageBreakBefore w:val="0"/>
        <w:widowControl w:val="0"/>
        <w:shd w:val="clear"/>
        <w:kinsoku/>
        <w:wordWrap/>
        <w:overflowPunct/>
        <w:topLinePunct w:val="0"/>
        <w:autoSpaceDE/>
        <w:autoSpaceDN/>
        <w:bidi w:val="0"/>
        <w:adjustRightInd/>
        <w:snapToGrid/>
        <w:spacing w:before="157" w:beforeLines="50" w:after="0"/>
        <w:ind w:firstLine="480" w:firstLineChars="200"/>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表3         龙南市森林碳汇计量相关参数一览表</w:t>
      </w:r>
    </w:p>
    <w:tbl>
      <w:tblPr>
        <w:tblStyle w:val="15"/>
        <w:tblW w:w="83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1522"/>
        <w:gridCol w:w="1359"/>
        <w:gridCol w:w="1359"/>
        <w:gridCol w:w="1359"/>
        <w:gridCol w:w="1359"/>
        <w:gridCol w:w="1362"/>
      </w:tblGrid>
      <w:tr w14:paraId="57C02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FBCD">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树种</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2FBD9">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CF</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D1E5D">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R</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CC4FF">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D</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37DDA">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BEF</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157FD">
            <w:pPr>
              <w:keepNext w:val="0"/>
              <w:keepLines w:val="0"/>
              <w:widowControl/>
              <w:suppressLineNumbers w:val="0"/>
              <w:jc w:val="center"/>
              <w:textAlignment w:val="center"/>
              <w:rPr>
                <w:rFonts w:hint="default" w:ascii="Times New Roman" w:hAnsi="Times New Roman" w:eastAsia="宋体" w:cs="Times New Roman"/>
                <w:b/>
                <w:bCs/>
                <w:i/>
                <w:color w:val="auto"/>
                <w:sz w:val="24"/>
                <w:szCs w:val="24"/>
                <w:highlight w:val="none"/>
                <w:u w:val="none"/>
              </w:rPr>
            </w:pPr>
            <w:r>
              <w:rPr>
                <w:rFonts w:hint="default" w:ascii="Times New Roman" w:hAnsi="Times New Roman" w:eastAsia="宋体" w:cs="Times New Roman"/>
                <w:b/>
                <w:bCs/>
                <w:i/>
                <w:color w:val="auto"/>
                <w:kern w:val="0"/>
                <w:sz w:val="24"/>
                <w:szCs w:val="24"/>
                <w:highlight w:val="none"/>
                <w:u w:val="none"/>
                <w:lang w:val="en-US" w:eastAsia="zh-CN" w:bidi="ar"/>
              </w:rPr>
              <w:t>BCEF</w:t>
            </w:r>
          </w:p>
        </w:tc>
      </w:tr>
      <w:tr w14:paraId="44794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5BD4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马尾松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33F5B">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0.552</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336EB">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0.187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6858">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0.38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7D72E">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1.472</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CC635">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0.664</w:t>
            </w:r>
          </w:p>
        </w:tc>
      </w:tr>
      <w:tr w14:paraId="0E797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BDBDF">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国外松</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FEACA">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0.511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A71B8">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0.206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4646">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0.424</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B700">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1.631</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47B83">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0.834</w:t>
            </w:r>
          </w:p>
        </w:tc>
      </w:tr>
      <w:tr w14:paraId="2F46F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D5935">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杉木</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C0D85">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0.537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E17CE">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0.246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979A5">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0.307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4A189">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1.634</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2BFC">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0.625</w:t>
            </w:r>
          </w:p>
        </w:tc>
      </w:tr>
      <w:tr w14:paraId="5C175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6766">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硬阔类</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94923">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0.497</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8941A">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0.261</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477EF">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0.598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6D6C">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1.674</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FEEAF">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1.262</w:t>
            </w:r>
          </w:p>
        </w:tc>
      </w:tr>
      <w:tr w14:paraId="40AB2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26C6">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软阔类</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1401">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0.485</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4CB89">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0.289</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A54C2">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0.443</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9D4CE">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1.586</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AB940">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0.906</w:t>
            </w:r>
          </w:p>
        </w:tc>
      </w:tr>
      <w:tr w14:paraId="29D53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96"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AC5F4">
            <w:pPr>
              <w:keepNext w:val="0"/>
              <w:keepLines w:val="0"/>
              <w:widowControl/>
              <w:suppressLineNumbers w:val="0"/>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混交类</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1651">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0.498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175C">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0.248</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0F72">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0.486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DE63D">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1.656</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31E7E">
            <w:pPr>
              <w:keepNext w:val="0"/>
              <w:keepLines w:val="0"/>
              <w:widowControl/>
              <w:suppressLineNumbers w:val="0"/>
              <w:jc w:val="center"/>
              <w:textAlignment w:val="center"/>
              <w:rPr>
                <w:rFonts w:hint="default" w:ascii="Times New Roman" w:hAnsi="Times New Roman" w:eastAsia="宋体" w:cs="Times New Roman"/>
                <w:i w:val="0"/>
                <w:color w:val="auto"/>
                <w:sz w:val="24"/>
                <w:szCs w:val="24"/>
                <w:highlight w:val="none"/>
                <w:u w:val="none"/>
              </w:rPr>
            </w:pPr>
            <w:r>
              <w:rPr>
                <w:rFonts w:hint="default" w:ascii="Times New Roman" w:hAnsi="Times New Roman" w:eastAsia="宋体" w:cs="Times New Roman"/>
                <w:i w:val="0"/>
                <w:color w:val="auto"/>
                <w:kern w:val="0"/>
                <w:sz w:val="24"/>
                <w:szCs w:val="24"/>
                <w:highlight w:val="none"/>
                <w:u w:val="none"/>
                <w:lang w:val="en-US" w:eastAsia="zh-CN" w:bidi="ar"/>
              </w:rPr>
              <w:t>1.004</w:t>
            </w:r>
          </w:p>
        </w:tc>
      </w:tr>
      <w:tr w14:paraId="1038E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34" w:hRule="atLeast"/>
        </w:trPr>
        <w:tc>
          <w:tcPr>
            <w:tcW w:w="15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A4EB9">
            <w:pPr>
              <w:keepNext w:val="0"/>
              <w:keepLines w:val="0"/>
              <w:widowControl/>
              <w:suppressLineNumbers w:val="0"/>
              <w:jc w:val="center"/>
              <w:textAlignment w:val="center"/>
              <w:rPr>
                <w:rFonts w:hint="eastAsia" w:ascii="宋体" w:hAnsi="宋体" w:eastAsia="宋体" w:cs="宋体"/>
                <w:b/>
                <w:bCs/>
                <w:i w:val="0"/>
                <w:color w:val="auto"/>
                <w:sz w:val="24"/>
                <w:szCs w:val="24"/>
                <w:highlight w:val="none"/>
                <w:u w:val="none"/>
              </w:rPr>
            </w:pPr>
            <w:r>
              <w:rPr>
                <w:rFonts w:hint="eastAsia" w:ascii="宋体" w:hAnsi="宋体" w:eastAsia="宋体" w:cs="宋体"/>
                <w:b/>
                <w:bCs/>
                <w:i w:val="0"/>
                <w:color w:val="auto"/>
                <w:kern w:val="0"/>
                <w:sz w:val="24"/>
                <w:szCs w:val="24"/>
                <w:highlight w:val="none"/>
                <w:u w:val="none"/>
                <w:lang w:val="en-US" w:eastAsia="zh-CN" w:bidi="ar"/>
              </w:rPr>
              <w:t>加权平均值</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B7B2">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0.516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5E89">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0.236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10835">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0.436</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CC668">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1.616</w:t>
            </w:r>
          </w:p>
        </w:tc>
        <w:tc>
          <w:tcPr>
            <w:tcW w:w="136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51A3">
            <w:pPr>
              <w:keepNext w:val="0"/>
              <w:keepLines w:val="0"/>
              <w:widowControl/>
              <w:suppressLineNumbers w:val="0"/>
              <w:jc w:val="center"/>
              <w:textAlignment w:val="center"/>
              <w:rPr>
                <w:rFonts w:hint="default" w:ascii="Times New Roman" w:hAnsi="Times New Roman" w:eastAsia="宋体" w:cs="Times New Roman"/>
                <w:b/>
                <w:bCs/>
                <w:i w:val="0"/>
                <w:color w:val="auto"/>
                <w:sz w:val="24"/>
                <w:szCs w:val="24"/>
                <w:highlight w:val="none"/>
                <w:u w:val="none"/>
              </w:rPr>
            </w:pPr>
            <w:r>
              <w:rPr>
                <w:rFonts w:hint="default" w:ascii="Times New Roman" w:hAnsi="Times New Roman" w:eastAsia="宋体" w:cs="Times New Roman"/>
                <w:b/>
                <w:bCs/>
                <w:i w:val="0"/>
                <w:color w:val="auto"/>
                <w:kern w:val="0"/>
                <w:sz w:val="24"/>
                <w:szCs w:val="24"/>
                <w:highlight w:val="none"/>
                <w:u w:val="none"/>
                <w:lang w:val="en-US" w:eastAsia="zh-CN" w:bidi="ar"/>
              </w:rPr>
              <w:t>0.871</w:t>
            </w:r>
          </w:p>
        </w:tc>
      </w:tr>
    </w:tbl>
    <w:p w14:paraId="2452343C">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14:paraId="0397BE57">
      <w:pPr>
        <w:keepNext w:val="0"/>
        <w:keepLines w:val="0"/>
        <w:pageBreakBefore w:val="0"/>
        <w:widowControl w:val="0"/>
        <w:shd w:val="clear"/>
        <w:kinsoku/>
        <w:wordWrap/>
        <w:overflowPunct/>
        <w:topLinePunct w:val="0"/>
        <w:autoSpaceDE/>
        <w:autoSpaceDN/>
        <w:bidi w:val="0"/>
        <w:adjustRightInd w:val="0"/>
        <w:snapToGrid w:val="0"/>
        <w:spacing w:line="240" w:lineRule="atLeast"/>
        <w:ind w:firstLine="0" w:firstLineChars="0"/>
        <w:textAlignment w:val="auto"/>
        <w:outlineLvl w:val="9"/>
        <w:rPr>
          <w:rFonts w:hint="eastAsia" w:ascii="Times New Roman" w:hAnsi="Times New Roman" w:eastAsia="仿宋" w:cs="Times New Roman"/>
          <w:color w:val="auto"/>
          <w:kern w:val="10"/>
          <w:sz w:val="21"/>
          <w:szCs w:val="21"/>
          <w:highlight w:val="none"/>
          <w:lang w:val="en-US" w:eastAsia="zh-CN"/>
        </w:rPr>
      </w:pPr>
    </w:p>
    <w:p w14:paraId="4F29249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至2025年，龙南市森林碳汇量为：</w:t>
      </w:r>
    </w:p>
    <w:p w14:paraId="579D5D7C">
      <w:pPr>
        <w:keepNext w:val="0"/>
        <w:keepLines w:val="0"/>
        <w:pageBreakBefore w:val="0"/>
        <w:widowControl w:val="0"/>
        <w:shd w:val="clear"/>
        <w:kinsoku/>
        <w:wordWrap/>
        <w:overflowPunct/>
        <w:topLinePunct w:val="0"/>
        <w:autoSpaceDE/>
        <w:autoSpaceDN/>
        <w:bidi w:val="0"/>
        <w:adjustRightInd/>
        <w:snapToGrid/>
        <w:spacing w:line="312" w:lineRule="auto"/>
        <w:ind w:firstLine="420" w:firstLineChars="200"/>
        <w:textAlignment w:val="auto"/>
        <w:outlineLvl w:val="9"/>
        <w:rPr>
          <w:rFonts w:hint="eastAsia" w:ascii="仿宋" w:hAnsi="仿宋" w:eastAsia="仿宋" w:cs="仿宋"/>
          <w:color w:val="auto"/>
          <w:kern w:val="10"/>
          <w:sz w:val="32"/>
          <w:szCs w:val="32"/>
          <w:highlight w:val="none"/>
          <w:lang w:val="en-US" w:eastAsia="zh-CN"/>
        </w:rPr>
      </w:pPr>
      <w:r>
        <w:rPr>
          <w:color w:val="auto"/>
          <w:highlight w:val="none"/>
        </w:rPr>
        <w:drawing>
          <wp:inline distT="0" distB="0" distL="114300" distR="114300">
            <wp:extent cx="3379470" cy="4762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3379470" cy="476250"/>
                    </a:xfrm>
                    <a:prstGeom prst="rect">
                      <a:avLst/>
                    </a:prstGeom>
                    <a:noFill/>
                    <a:ln w="9525">
                      <a:noFill/>
                    </a:ln>
                  </pic:spPr>
                </pic:pic>
              </a:graphicData>
            </a:graphic>
          </wp:inline>
        </w:drawing>
      </w:r>
    </w:p>
    <w:p w14:paraId="588D09D1">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 xml:space="preserve"> </w:t>
      </w:r>
      <w:r>
        <w:rPr>
          <w:color w:val="auto"/>
          <w:highlight w:val="none"/>
        </w:rPr>
        <w:drawing>
          <wp:inline distT="0" distB="0" distL="114300" distR="114300">
            <wp:extent cx="4422140" cy="424180"/>
            <wp:effectExtent l="0" t="0" r="16510"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5"/>
                    <a:stretch>
                      <a:fillRect/>
                    </a:stretch>
                  </pic:blipFill>
                  <pic:spPr>
                    <a:xfrm>
                      <a:off x="0" y="0"/>
                      <a:ext cx="4422140" cy="424180"/>
                    </a:xfrm>
                    <a:prstGeom prst="rect">
                      <a:avLst/>
                    </a:prstGeom>
                    <a:noFill/>
                    <a:ln w="9525">
                      <a:noFill/>
                    </a:ln>
                  </pic:spPr>
                </pic:pic>
              </a:graphicData>
            </a:graphic>
          </wp:inline>
        </w:drawing>
      </w:r>
    </w:p>
    <w:p w14:paraId="5BBBCD2D">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422" w:firstLineChars="200"/>
        <w:textAlignment w:val="auto"/>
        <w:outlineLvl w:val="9"/>
        <w:rPr>
          <w:rFonts w:hint="eastAsia" w:ascii="Times New Roman" w:hAnsi="Times New Roman" w:eastAsia="仿宋" w:cs="Times New Roman"/>
          <w:b/>
          <w:bCs/>
          <w:color w:val="auto"/>
          <w:kern w:val="10"/>
          <w:sz w:val="21"/>
          <w:szCs w:val="21"/>
          <w:highlight w:val="none"/>
          <w:lang w:val="en-US" w:eastAsia="zh-CN"/>
        </w:rPr>
      </w:pPr>
    </w:p>
    <w:p w14:paraId="44754254">
      <w:pPr>
        <w:keepNext w:val="0"/>
        <w:keepLines w:val="0"/>
        <w:pageBreakBefore w:val="0"/>
        <w:widowControl w:val="0"/>
        <w:numPr>
          <w:ilvl w:val="0"/>
          <w:numId w:val="0"/>
        </w:numPr>
        <w:shd w:val="clear"/>
        <w:kinsoku/>
        <w:wordWrap/>
        <w:overflowPunct/>
        <w:topLinePunct w:val="0"/>
        <w:autoSpaceDE/>
        <w:autoSpaceDN/>
        <w:bidi w:val="0"/>
        <w:adjustRightInd/>
        <w:snapToGrid/>
        <w:spacing w:line="312" w:lineRule="auto"/>
        <w:ind w:firstLine="643" w:firstLineChars="200"/>
        <w:textAlignment w:val="auto"/>
        <w:outlineLvl w:val="9"/>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（2）间接经济效益</w:t>
      </w:r>
    </w:p>
    <w:p w14:paraId="125EBD1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b w:val="0"/>
          <w:bCs w:val="0"/>
          <w:color w:val="auto"/>
          <w:kern w:val="10"/>
          <w:sz w:val="32"/>
          <w:szCs w:val="32"/>
          <w:highlight w:val="none"/>
          <w:lang w:val="en-US" w:eastAsia="zh-CN"/>
        </w:rPr>
      </w:pPr>
      <w:r>
        <w:rPr>
          <w:rFonts w:hint="eastAsia" w:ascii="Times New Roman" w:hAnsi="Times New Roman" w:eastAsia="仿宋" w:cs="Times New Roman"/>
          <w:b w:val="0"/>
          <w:bCs w:val="0"/>
          <w:color w:val="auto"/>
          <w:kern w:val="10"/>
          <w:sz w:val="32"/>
          <w:szCs w:val="32"/>
          <w:highlight w:val="none"/>
          <w:lang w:val="en-US" w:eastAsia="zh-CN"/>
        </w:rPr>
        <w:t>《规划》实施后，将新增高标准农田2.5万亩，农田灌溉水有效利用系数提高到0.53以上，用水水平和效率进一步提高，土地资源利用率、土地产出率得到大幅度提高，有效促进农村经济绿色发展。参照《江西省县（市、区）分区域征地统一年产值标准表》，龙南市统一年产值标准共分4个档次，由低往高依次为：最低档每亩2021元、第二档亩均2134元、第三档亩均2190元。按高标准农田年亩均产值提高两个档次即169元。依此估算，高标准农田预期每年可实现增产收益为2.5×169 = 422.5万元。</w:t>
      </w:r>
    </w:p>
    <w:p w14:paraId="7E1D2B40">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社会效益</w:t>
      </w:r>
    </w:p>
    <w:p w14:paraId="372441D4">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改变贫困落后面貌，加快全面建设小康社会步伐。</w:t>
      </w:r>
      <w:r>
        <w:rPr>
          <w:rFonts w:hint="eastAsia" w:ascii="Times New Roman" w:hAnsi="Times New Roman" w:eastAsia="仿宋" w:cs="Times New Roman"/>
          <w:color w:val="auto"/>
          <w:kern w:val="10"/>
          <w:sz w:val="32"/>
          <w:szCs w:val="32"/>
          <w:highlight w:val="none"/>
          <w:lang w:val="en-US" w:eastAsia="zh-CN"/>
        </w:rPr>
        <w:t>规划设施后，将带动实现农业产业结构的优化调整，有效拉动内需，加快当地群众脱贫致富，改变贫困落后面貌，促进</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经济繁荣稳定和社会和谐发展，加快全面建设小康社会步伐。</w:t>
      </w:r>
    </w:p>
    <w:p w14:paraId="5FD8063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人居环境得到改善，加快美丽乡村建设步伐。</w:t>
      </w:r>
      <w:r>
        <w:rPr>
          <w:rFonts w:hint="eastAsia" w:ascii="Times New Roman" w:hAnsi="Times New Roman" w:eastAsia="仿宋" w:cs="Times New Roman"/>
          <w:color w:val="auto"/>
          <w:kern w:val="10"/>
          <w:sz w:val="32"/>
          <w:szCs w:val="32"/>
          <w:highlight w:val="none"/>
          <w:lang w:val="en-US" w:eastAsia="zh-CN"/>
        </w:rPr>
        <w:t>规划设施后，将实现城乡人居环境显著改善，人居安全得到有力保障，同时也推动</w:t>
      </w:r>
      <w:r>
        <w:rPr>
          <w:rFonts w:hint="eastAsia" w:cs="Times New Roman"/>
          <w:color w:val="auto"/>
          <w:kern w:val="10"/>
          <w:sz w:val="32"/>
          <w:szCs w:val="32"/>
          <w:highlight w:val="none"/>
          <w:lang w:val="en-US" w:eastAsia="zh-CN"/>
        </w:rPr>
        <w:t>龙南市</w:t>
      </w:r>
      <w:r>
        <w:rPr>
          <w:rFonts w:hint="eastAsia" w:ascii="Times New Roman" w:hAnsi="Times New Roman" w:eastAsia="仿宋" w:cs="Times New Roman"/>
          <w:color w:val="auto"/>
          <w:kern w:val="10"/>
          <w:sz w:val="32"/>
          <w:szCs w:val="32"/>
          <w:highlight w:val="none"/>
          <w:lang w:val="en-US" w:eastAsia="zh-CN"/>
        </w:rPr>
        <w:t>美丽乡村建设，促进科教、文化、卫生事业发展，群众文化素质和身体素质得到普遍提高，经济繁荣稳定、社会和谐发展，城乡生态优良，居民增收富裕</w:t>
      </w:r>
      <w:r>
        <w:rPr>
          <w:rFonts w:hint="eastAsia" w:ascii="仿宋" w:hAnsi="仿宋" w:eastAsia="仿宋" w:cs="仿宋"/>
          <w:i w:val="0"/>
          <w:caps w:val="0"/>
          <w:color w:val="auto"/>
          <w:spacing w:val="0"/>
          <w:sz w:val="32"/>
          <w:szCs w:val="32"/>
          <w:highlight w:val="none"/>
          <w:shd w:val="clear" w:fill="FFFFFF"/>
        </w:rPr>
        <w:t>。</w:t>
      </w:r>
      <w:r>
        <w:rPr>
          <w:rFonts w:hint="eastAsia" w:ascii="Times New Roman" w:hAnsi="Times New Roman" w:eastAsia="仿宋" w:cs="Times New Roman"/>
          <w:color w:val="auto"/>
          <w:kern w:val="10"/>
          <w:sz w:val="32"/>
          <w:szCs w:val="32"/>
          <w:highlight w:val="none"/>
          <w:lang w:val="en-US" w:eastAsia="zh-CN"/>
        </w:rPr>
        <w:t>全面建成</w:t>
      </w:r>
      <w:r>
        <w:rPr>
          <w:rFonts w:hint="eastAsia" w:ascii="仿宋" w:hAnsi="仿宋" w:eastAsia="仿宋" w:cs="仿宋"/>
          <w:i w:val="0"/>
          <w:caps w:val="0"/>
          <w:color w:val="auto"/>
          <w:spacing w:val="0"/>
          <w:sz w:val="32"/>
          <w:szCs w:val="32"/>
          <w:highlight w:val="none"/>
          <w:shd w:val="clear" w:fill="FFFFFF"/>
        </w:rPr>
        <w:t>赣深高铁沿线</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工业强、旅游旺、城乡美、百姓富</w:t>
      </w:r>
      <w:r>
        <w:rPr>
          <w:rFonts w:hint="eastAsia" w:ascii="仿宋" w:hAnsi="仿宋" w:cs="仿宋"/>
          <w:i w:val="0"/>
          <w:caps w:val="0"/>
          <w:color w:val="auto"/>
          <w:spacing w:val="0"/>
          <w:sz w:val="32"/>
          <w:szCs w:val="32"/>
          <w:highlight w:val="none"/>
          <w:shd w:val="clear" w:fill="FFFFFF"/>
          <w:lang w:eastAsia="zh-CN"/>
        </w:rPr>
        <w:t>”</w:t>
      </w:r>
      <w:r>
        <w:rPr>
          <w:rFonts w:hint="eastAsia" w:ascii="仿宋" w:hAnsi="仿宋" w:eastAsia="仿宋" w:cs="仿宋"/>
          <w:i w:val="0"/>
          <w:caps w:val="0"/>
          <w:color w:val="auto"/>
          <w:spacing w:val="0"/>
          <w:sz w:val="32"/>
          <w:szCs w:val="32"/>
          <w:highlight w:val="none"/>
          <w:shd w:val="clear" w:fill="FFFFFF"/>
        </w:rPr>
        <w:t>明珠市，革命老区高质量发展示范区龙南样板</w:t>
      </w:r>
      <w:r>
        <w:rPr>
          <w:rFonts w:hint="eastAsia" w:ascii="Times New Roman" w:hAnsi="Times New Roman" w:eastAsia="仿宋_GB2312" w:cs="Times New Roman"/>
          <w:color w:val="auto"/>
          <w:sz w:val="32"/>
          <w:szCs w:val="28"/>
          <w:highlight w:val="none"/>
          <w:lang w:val="en-US" w:eastAsia="zh-CN"/>
        </w:rPr>
        <w:t>。</w:t>
      </w:r>
    </w:p>
    <w:p w14:paraId="6887FDA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生态意识显著增强，生态文明理念深入人心。</w:t>
      </w:r>
      <w:r>
        <w:rPr>
          <w:rFonts w:hint="eastAsia" w:ascii="Times New Roman" w:hAnsi="Times New Roman" w:eastAsia="仿宋" w:cs="Times New Roman"/>
          <w:color w:val="auto"/>
          <w:kern w:val="10"/>
          <w:sz w:val="32"/>
          <w:szCs w:val="32"/>
          <w:highlight w:val="none"/>
          <w:lang w:val="en-US" w:eastAsia="zh-CN"/>
        </w:rPr>
        <w:t>通过规划重大工程的实施，社会对生态保护与修复的重要性和价值有了更深刻的认识，逐步形成生态保护与修复知识的学习和教育意识，进一步树立生态价值意识、生态保护与修复责任意识和生态保护道德意识，自觉践行节约资源、绿色生产、绿色消费、绿色发展，生态文明理念深入人心，实现人与自然和谐发展，形成全社会动员，共治、共管、共享的生态文明新格局。</w:t>
      </w:r>
    </w:p>
    <w:p w14:paraId="3D982936">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420" w:firstLineChars="200"/>
        <w:textAlignment w:val="auto"/>
        <w:outlineLvl w:val="9"/>
        <w:rPr>
          <w:rFonts w:hint="eastAsia" w:ascii="Times New Roman" w:hAnsi="Times New Roman" w:eastAsia="仿宋" w:cs="Times New Roman"/>
          <w:color w:val="auto"/>
          <w:kern w:val="10"/>
          <w:sz w:val="21"/>
          <w:szCs w:val="21"/>
          <w:highlight w:val="none"/>
          <w:lang w:val="en-US" w:eastAsia="zh-CN"/>
        </w:rPr>
      </w:pPr>
    </w:p>
    <w:p w14:paraId="6FE0F5D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420" w:firstLineChars="200"/>
        <w:textAlignment w:val="auto"/>
        <w:outlineLvl w:val="9"/>
        <w:rPr>
          <w:rFonts w:hint="eastAsia" w:ascii="Times New Roman" w:hAnsi="Times New Roman" w:eastAsia="仿宋" w:cs="Times New Roman"/>
          <w:color w:val="auto"/>
          <w:kern w:val="10"/>
          <w:sz w:val="21"/>
          <w:szCs w:val="21"/>
          <w:highlight w:val="none"/>
          <w:lang w:val="en-US" w:eastAsia="zh-CN"/>
        </w:rPr>
      </w:pPr>
    </w:p>
    <w:p w14:paraId="67C7F99B">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240" w:lineRule="exact"/>
        <w:ind w:firstLine="420" w:firstLineChars="200"/>
        <w:textAlignment w:val="auto"/>
        <w:outlineLvl w:val="9"/>
        <w:rPr>
          <w:rFonts w:hint="eastAsia" w:ascii="Times New Roman" w:hAnsi="Times New Roman" w:eastAsia="仿宋" w:cs="Times New Roman"/>
          <w:color w:val="auto"/>
          <w:kern w:val="10"/>
          <w:sz w:val="21"/>
          <w:szCs w:val="21"/>
          <w:highlight w:val="none"/>
          <w:lang w:val="en-US" w:eastAsia="zh-CN"/>
        </w:rPr>
        <w:sectPr>
          <w:pgSz w:w="11906" w:h="16838"/>
          <w:pgMar w:top="1440" w:right="1800" w:bottom="1440" w:left="1800" w:header="851" w:footer="992" w:gutter="0"/>
          <w:cols w:space="720" w:num="1"/>
          <w:rtlGutter w:val="0"/>
          <w:docGrid w:linePitch="312" w:charSpace="0"/>
        </w:sectPr>
      </w:pPr>
    </w:p>
    <w:bookmarkEnd w:id="47"/>
    <w:p w14:paraId="1852CCF7">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55" w:name="_Toc31100_WPSOffice_Level1"/>
      <w:bookmarkStart w:id="56" w:name="_Toc28410"/>
      <w:r>
        <w:rPr>
          <w:rFonts w:hint="eastAsia"/>
          <w:b/>
          <w:bCs/>
          <w:color w:val="auto"/>
          <w:sz w:val="36"/>
          <w:szCs w:val="36"/>
          <w:highlight w:val="none"/>
          <w:lang w:val="en-US" w:eastAsia="zh-CN"/>
        </w:rPr>
        <w:t>九、规划保障</w:t>
      </w:r>
      <w:bookmarkEnd w:id="55"/>
      <w:r>
        <w:rPr>
          <w:rFonts w:hint="eastAsia"/>
          <w:b/>
          <w:bCs/>
          <w:color w:val="auto"/>
          <w:sz w:val="36"/>
          <w:szCs w:val="36"/>
          <w:highlight w:val="none"/>
          <w:lang w:val="en-US" w:eastAsia="zh-CN"/>
        </w:rPr>
        <w:t>机制</w:t>
      </w:r>
      <w:bookmarkEnd w:id="56"/>
    </w:p>
    <w:p w14:paraId="76488FE6">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57" w:name="_Toc28682"/>
      <w:bookmarkStart w:id="58" w:name="_Toc21036_WPSOffice_Level2"/>
      <w:r>
        <w:rPr>
          <w:rFonts w:hint="eastAsia" w:ascii="Times New Roman" w:hAnsi="Times New Roman" w:eastAsia="仿宋" w:cs="Times New Roman"/>
          <w:b/>
          <w:bCs/>
          <w:color w:val="auto"/>
          <w:sz w:val="32"/>
          <w:szCs w:val="32"/>
          <w:highlight w:val="none"/>
          <w:lang w:val="en-US" w:eastAsia="zh-CN"/>
        </w:rPr>
        <w:t>（一）省市两级生态修复实施相关政策措施</w:t>
      </w:r>
      <w:bookmarkEnd w:id="57"/>
    </w:p>
    <w:p w14:paraId="501C5E2B">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bookmarkStart w:id="59" w:name="_Toc13257"/>
      <w:r>
        <w:rPr>
          <w:rFonts w:hint="eastAsia" w:ascii="Times New Roman" w:hAnsi="Times New Roman" w:eastAsia="仿宋" w:cs="Times New Roman"/>
          <w:color w:val="auto"/>
          <w:kern w:val="10"/>
          <w:sz w:val="32"/>
          <w:szCs w:val="32"/>
          <w:highlight w:val="none"/>
          <w:lang w:val="en-US" w:eastAsia="zh-CN"/>
        </w:rPr>
        <w:t>赣州市委、市政府历来重视生态修复保护。2016年江西列为首批国家生态文明试验区，2017年中办、国办印发《国家生态文明试验区（江西）实施方案》，将江西省生态文明试验区建设纳入中央部署，全省生态文明建设进入了新阶段，省级、市级生态修复相关领域的政策也陆续出台。其中主要政策措施包括：</w:t>
      </w:r>
    </w:p>
    <w:p w14:paraId="1217A50C">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2"/>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一、省级政策：</w:t>
      </w:r>
    </w:p>
    <w:p w14:paraId="6F06ED86">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（1）2012年5月，《江西省湿地保护条例》颁布实施；</w:t>
      </w:r>
    </w:p>
    <w:p w14:paraId="601A28A9">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（2）2018年2月，江西省流域生态补偿办法正式颁布实施；</w:t>
      </w:r>
    </w:p>
    <w:p w14:paraId="4BE9145A">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（3）2018年4月，《江西省湖泊保护条例》发布实施；</w:t>
      </w:r>
    </w:p>
    <w:p w14:paraId="402CB872">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（4）2018年7月，江西省“林长制”在全国率先全面推行；</w:t>
      </w:r>
    </w:p>
    <w:p w14:paraId="44AA8A1F">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（5）2018年6月，《江西省统筹整合资金推进高标准农田项目建后管护办法（试行）》正式实施 ；</w:t>
      </w:r>
    </w:p>
    <w:p w14:paraId="09C0721D">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（6）2018年11月，《江西省实施河长制湖长制条例》正式发布；</w:t>
      </w:r>
    </w:p>
    <w:p w14:paraId="535F88D2">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（7）2019年11月，《江西省矿山生态修复基金管理办法》正式发布；</w:t>
      </w:r>
    </w:p>
    <w:p w14:paraId="65076C5D">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（8）2020年1月，《江西省生态文明建设促进条例》正式实施；</w:t>
      </w:r>
    </w:p>
    <w:p w14:paraId="183F1CFB">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（9）2020年3月，《江西省关于探索利用市场化方式推进矿山生态修复的实施办法》（赣自然资规〔2020〕1号）正式出台；</w:t>
      </w:r>
    </w:p>
    <w:p w14:paraId="4A06527E">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（10）2021年1月，《江西省乡村振兴促进条例》正式实施；</w:t>
      </w:r>
    </w:p>
    <w:p w14:paraId="6B30AF0D">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（11）2021年1月，《江西省土壤污染防治条例》发布实施；</w:t>
      </w:r>
    </w:p>
    <w:p w14:paraId="5DDB14F2">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2"/>
        <w:rPr>
          <w:rFonts w:hint="eastAsia" w:ascii="Times New Roman" w:hAnsi="Times New Roman" w:eastAsia="仿宋" w:cs="Times New Roman"/>
          <w:b/>
          <w:bCs/>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二、市级政策：</w:t>
      </w:r>
    </w:p>
    <w:p w14:paraId="40C79457">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（1）2007年5月，《赣州市中心城区绿线管理办法》和《赣州市中心城区公园管理办法》发布实施；</w:t>
      </w:r>
    </w:p>
    <w:p w14:paraId="6DEF3288">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（2）2017年10月24日，《赣州市人民政府关于进一步加强水土保持工作的意见》发布实施；</w:t>
      </w:r>
    </w:p>
    <w:p w14:paraId="38E6634A">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（3）《市委办公厅 市政府办公厅关于印发〈赣州市全面推行河长制工作方案（修订）〉的通知》（赣市办字〔2017〕43号）；</w:t>
      </w:r>
    </w:p>
    <w:p w14:paraId="6926238E">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（4）《市委办公厅 市政府办公厅关于印发〈赣州市实施湖长制工作方案〉的通知》（赣市办字〔2018〕27号）；</w:t>
      </w:r>
    </w:p>
    <w:p w14:paraId="21B438FB">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（5）2019年2月2日，《赣州市废弃稀土矿山环境治理项目后期管护管理办法（试行）》发布实施；</w:t>
      </w:r>
    </w:p>
    <w:p w14:paraId="44038907">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（6）2019年5月21日，《关于进一步规范推进赣州市城乡建设用地增减挂钩工作的实施意见》发布实施；</w:t>
      </w:r>
    </w:p>
    <w:p w14:paraId="14A6DCB4">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（7）2021年2月10日，《赣州市总林长令〔2021〕1号》发布实施；</w:t>
      </w:r>
    </w:p>
    <w:p w14:paraId="60C2FC93">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（8）2021年7月7日，《赣州市生态环境违法行为举报奖励暂行办法》发布实施；</w:t>
      </w:r>
    </w:p>
    <w:p w14:paraId="470EC60F">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（9）2021年2月9日，《赣州市人民政府关于全力实施裸露山体增绿复绿工作的通知》发布实施。</w:t>
      </w:r>
    </w:p>
    <w:p w14:paraId="6253787B">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（10）2021年7月，赣州市人民政府办公室关于印发《赣州市矿山生态修复三年行动方案》的通知。</w:t>
      </w:r>
    </w:p>
    <w:p w14:paraId="6F6CAF71">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0" w:name="_Toc2531"/>
      <w:r>
        <w:rPr>
          <w:rFonts w:hint="eastAsia" w:ascii="Times New Roman" w:hAnsi="Times New Roman" w:eastAsia="仿宋" w:cs="Times New Roman"/>
          <w:b/>
          <w:bCs/>
          <w:color w:val="auto"/>
          <w:sz w:val="32"/>
          <w:szCs w:val="32"/>
          <w:highlight w:val="none"/>
          <w:lang w:val="en-US" w:eastAsia="zh-CN"/>
        </w:rPr>
        <w:t>（二）规划实施保障机制主要内容</w:t>
      </w:r>
      <w:bookmarkEnd w:id="59"/>
      <w:bookmarkEnd w:id="60"/>
    </w:p>
    <w:p w14:paraId="1D2E630D">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针对现存生态修复实施存在的机制体制不足，为保障“十四五”期间规划能够顺利实施，规划从加强组织领导、创新政策体系、加强科技支撑、强化评估监管、鼓励公众参与、拓宽融资渠道等6个方面提出了相应保障措施。</w:t>
      </w:r>
    </w:p>
    <w:p w14:paraId="3AE7D8D3">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——在加强组织领导方面</w:t>
      </w:r>
      <w:r>
        <w:rPr>
          <w:rFonts w:hint="eastAsia" w:ascii="Times New Roman" w:hAnsi="Times New Roman" w:eastAsia="仿宋" w:cs="Times New Roman"/>
          <w:b w:val="0"/>
          <w:bCs w:val="0"/>
          <w:color w:val="auto"/>
          <w:kern w:val="10"/>
          <w:sz w:val="32"/>
          <w:szCs w:val="32"/>
          <w:highlight w:val="none"/>
          <w:lang w:val="en-US" w:eastAsia="zh-CN"/>
        </w:rPr>
        <w:t>，</w:t>
      </w:r>
      <w:r>
        <w:rPr>
          <w:rFonts w:hint="eastAsia" w:ascii="Times New Roman" w:hAnsi="Times New Roman" w:eastAsia="仿宋" w:cs="Times New Roman"/>
          <w:color w:val="auto"/>
          <w:kern w:val="10"/>
          <w:sz w:val="32"/>
          <w:szCs w:val="32"/>
          <w:highlight w:val="none"/>
          <w:lang w:val="en-US" w:eastAsia="zh-CN"/>
        </w:rPr>
        <w:t>规划提出了加强规划实施政府主导，落实地方责任。建立由龙南市人民政府统一领导，龙南市自然资源局组织协调，各乡、镇（街道）、林业、水利、环保、公安、财政等有关部门参加的国土空间生态修复项目联合执行管理机构，明确各部门职责分工，为落实国土空间生态修复项目管理职能提供有效的组织保障；项目实施可由市政府分管领导为组长、自然资源局、林业、水利、环保等部门分管领导为副组长、其相关部门技术骨干力量为成员组成的管理机构，各乡、镇（街道）以负责国土空间生态修复项目的具体施工、协调和管理工作。各地各单位要结合实际，尽快制定实施方案，明确责任主体，细化工作目标，强化保障措施，切实把各项政策措施落到实处。实行系统管理，构建国土空间生态修复管理机制。强化政府部门对山水林田湖生命共同体的认识，建立部门间的协调机制和统一监管机制。建立统筹协调机制，打破部门分割现状，加强部门联动，形成管理合力，协同推进国土空间生态保护与修复工程。明确各管理部门在国土空间生态保护修复工程实施与管理中的职责权限，形成协调统一的工作机制。建立联席会议机制，研究解决管理工作中的新情况、新问题。建立统一的监管机制包括统一的监管平台、统一的评价指标体系和考核体系，对各部门责任主体实行统一评价与考核</w:t>
      </w:r>
    </w:p>
    <w:p w14:paraId="10541CA6">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——在创新政策体系方面</w:t>
      </w:r>
      <w:r>
        <w:rPr>
          <w:rFonts w:hint="eastAsia" w:ascii="Times New Roman" w:hAnsi="Times New Roman" w:eastAsia="仿宋" w:cs="Times New Roman"/>
          <w:color w:val="auto"/>
          <w:kern w:val="10"/>
          <w:sz w:val="32"/>
          <w:szCs w:val="32"/>
          <w:highlight w:val="none"/>
          <w:lang w:val="en-US" w:eastAsia="zh-CN"/>
        </w:rPr>
        <w:t>，规划提出了创新补偿标准体系。适时启动开展GEEP（绿色经济生态生产总值）、GEP（生态系统生产总值）核算工作，结合龙南市不同地区的经济发展水平，加强不同地理空间的补偿等级划分和幅度选择，科学确定生态补偿指标体系、实施原则与计算方法，针对生态保护补偿应结合政府补偿和市场补偿两种机制，及环境法治多元参与的治理理念，政府补偿的高效率性和市场补偿主体的多元化、平等自愿性等优势结合，开展政策优惠、生态补偿等形式的生态保护补偿策略。完善重点生态区域补偿机制，充分考虑限制开发区和生态保护红线内的生态状况、资源禀赋和产业基础，完善测算方法，有针对地制定补偿标准。加大生态脱贫的政策扶持力度，加强生态移民的转移就业培训工作，加快农民脱贫致富进程，调动农民保护生态的积极性，从“要我保护”向“我要保护”转变。落实生态补偿政策。积极向上争取建立稳定的财政投入机制，加大重点生态功能区转移支付力度。建立受益地区与保护地区、流域上下游生态补偿制度，开展龙南市横向生态补偿，建立生态补偿基金，补偿资金来源于下游受益地区和受益企业。加快推动生态保护地区转变发展方式、提升优质生态产品供给能力。全面实行排污许可制，加快推进排污权、用能权、用水权、碳排放权市场化交易，健全环境权益交易制度和市场化机制，建立完善财政支持与生态保护成效挂钩机制。</w:t>
      </w:r>
    </w:p>
    <w:p w14:paraId="51F43C3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——在加强科技支撑方面</w:t>
      </w:r>
      <w:r>
        <w:rPr>
          <w:rFonts w:hint="eastAsia" w:ascii="Times New Roman" w:hAnsi="Times New Roman" w:eastAsia="仿宋" w:cs="Times New Roman"/>
          <w:color w:val="auto"/>
          <w:kern w:val="10"/>
          <w:sz w:val="32"/>
          <w:szCs w:val="32"/>
          <w:highlight w:val="none"/>
          <w:lang w:val="en-US" w:eastAsia="zh-CN"/>
        </w:rPr>
        <w:t>，规划提出了积极推广使用国土空间生态修复项目特别是开发性治理的新理论、新技术、新方法，充分利用现代科学技术方法和手段，提高生态修复项目综合能力和管理水平。积极开发高科技生态产业项目。加强国土空间生态修复先进技术的引进、推广，与国家级科研院所、高校和江西省科研机构开展密切合作，积极开发、引进清洁生产、生态环境保护、资源综合利用和废弃物资源化等方面的各类新技术、新工艺，新产品。开展生态系统服务价值核算，探索生态产品及其价值实现的路径。加强龙南市生态产品价值、生态环境承载评估等基础理论研究，及时摸清生态本底，推动龙南市国土空间生态修复。</w:t>
      </w:r>
    </w:p>
    <w:p w14:paraId="250210A6">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建立健全人才引进、培养和使用激励机制。引进和培养一批在国内具有一定影响力的环保科技专家及各专业领域的学术或技术带头人，推动高级环境科技人才队伍建设，加强国土空间生态修复项目管理队伍、专业技术支撑队伍和专家咨询机构的建设，提高国土空间生态修复项目队伍的整体素质。加强农业面源污染防治队伍建设，不断提升农业面源污染治理能力。建立专项基金，给予主导产业的高端人才优惠政策，吸引生态环保建设领域所需的各类高科技人才落户；加强对从事国土空间生态修复、生态经济建设专职人员技术培训，强化政府部门工作人员培训，支持龙头企业建立培训机构，鼓励和资助企业员工参加技术再培训，培养一支懂业务、善协调、会管理的国土空间生态修复专业队伍。</w:t>
      </w:r>
    </w:p>
    <w:p w14:paraId="268ACA9F">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——在强化评估监管方面</w:t>
      </w:r>
      <w:r>
        <w:rPr>
          <w:rFonts w:hint="eastAsia" w:ascii="Times New Roman" w:hAnsi="Times New Roman" w:eastAsia="仿宋" w:cs="Times New Roman"/>
          <w:color w:val="auto"/>
          <w:kern w:val="10"/>
          <w:sz w:val="32"/>
          <w:szCs w:val="32"/>
          <w:highlight w:val="none"/>
          <w:lang w:val="en-US" w:eastAsia="zh-CN"/>
        </w:rPr>
        <w:t>，规划提出了加强信息公开。按照“公开为常态、不公开为例外”的原则，除涉密性信息外，龙南市国土空间生态修复工程的中央财政补贴专项资金、省级补贴资金、市政府配套资金的使用进行公开公示，并根据资金分配管理流程，对专项资金实行全链条公开，公开内容涵盖专项资金目录、管理制度、申报指南、分配公式和因素、分配结果、绩效评价结果等，使各方面能够全面、完整地获取专项资金信息。健全监督机制。丰富生态环境保护公众监督形式，保障和拓宽公众参与渠道，健全监督举报制度和环境舆论监督制度，建立公众参与的环境后督察和后评估机制。搭建多样化的信息交流渠道和平台，以电视、网络、报刊、问卷、听证会、座谈会、走访等多种形式开展公众参与。</w:t>
      </w:r>
    </w:p>
    <w:p w14:paraId="492433E0">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——在鼓励公众参与方面</w:t>
      </w:r>
      <w:r>
        <w:rPr>
          <w:rFonts w:hint="eastAsia" w:ascii="Times New Roman" w:hAnsi="Times New Roman" w:eastAsia="仿宋" w:cs="Times New Roman"/>
          <w:color w:val="auto"/>
          <w:kern w:val="10"/>
          <w:sz w:val="32"/>
          <w:szCs w:val="32"/>
          <w:highlight w:val="none"/>
          <w:lang w:val="en-US" w:eastAsia="zh-CN"/>
        </w:rPr>
        <w:t>，规划提出了制定奖惩措施，积极引导公众参与生态文明建设。积极支持符合条件的企业、农民合作社、家庭农场、民营林场、专业大户等经营主体参与国土空间生态修复项目，引导和激发社会主体参与国土空间生态修复工作的积极性。制定相关奖惩措施，对在国土空间生态修复规划项目工作中做出突出贡献的单位和个人给予应有的奖励，鼓励公众参与，不断提高国土空间生态修复规划项目工作的全民参与度。努力回应人民关切，着力解决群众反映突出的环境问题。以环保督察问题整改为总抓手，着力解决涉及群众切身利益的突出环境问题，努力增加人民群众在生态文明建设中的获得感。加强科学普及、素质教育和技术培训工作。大力宣传、普及生态学、生态经济学、地理学、环境科学等相关科学的知识，大力宣传生态环境保护与治理的重要性，增强广大干部群众环境意识，为方案的实施创造良好的社会环境。推进共建共享，积极引导全市上下树立生态文明理念。建立健全全社会共同参与监督的渠道和机制。积极发挥新闻媒体、社会组织和公众广泛参与的监督作用，通过多方位、多层次的监督，建立统一有力的监管体系。积极组织开展生态保护的宣传教育和科学知识普及工作，加大宣传力度，创新宣传方式，调动和发挥各类组织参与生态保护与管理监督的积极性。促进各个阶层，尤其是管理者对“绿水青山就是金山银山”的理解，摒弃生态环境保护与经济发展相对立的错误观点。</w:t>
      </w:r>
    </w:p>
    <w:p w14:paraId="7FAF9564">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b/>
          <w:bCs/>
          <w:color w:val="auto"/>
          <w:kern w:val="10"/>
          <w:sz w:val="32"/>
          <w:szCs w:val="32"/>
          <w:highlight w:val="none"/>
          <w:lang w:val="en-US" w:eastAsia="zh-CN"/>
        </w:rPr>
        <w:t>——在拓宽融资渠道方面</w:t>
      </w:r>
      <w:r>
        <w:rPr>
          <w:rFonts w:hint="eastAsia" w:ascii="Times New Roman" w:hAnsi="Times New Roman" w:eastAsia="仿宋" w:cs="Times New Roman"/>
          <w:color w:val="auto"/>
          <w:kern w:val="10"/>
          <w:sz w:val="32"/>
          <w:szCs w:val="32"/>
          <w:highlight w:val="none"/>
          <w:lang w:val="en-US" w:eastAsia="zh-CN"/>
        </w:rPr>
        <w:t>，规划提出了加大各级财政投入力度，为生态保护修复工程提供坚实保障。综合考虑龙南市生态系统特点，积极争取中央及省级专项资金，市、县将生态保护修复工程资金列入财政预算，并加大工程资金投入。加强财政政策整合统筹，集中安排，形成合力。推行政府和社会资本合作模式，建立稳定、多元的投入机制。健全生态保护补偿机制。坚持谁受益、谁补偿原则，建立多渠道资金筹措机制，完善流域生态补偿机制。引导生态保护地区和受益地区遵循成本共担、效益共享、合作共治的思路，通过资金补助、对口支援、产业转移、园区合作、技术分享、税收共享等方式建立跨行政区的横向生态补偿机制，共同分担生态保护任务。完善生态公益林补偿机制，实行省级公益林与国家级公益林补偿联动、分类补偿与分档补助相结合的森林生态效益补偿机制。资金使用管理。生态修复资金的使用，必须严格执行《江西省地质环境项目管理暂行办法》、《江西省地质环境项目专项资金管理暂行办法》，严格按照规定的开支范围支出，建设单位要做好资金使用管理，实行专款专用，专管专用，单独核算，县级以上自然资源管理部门集体讨论，严格审批，规范财务手续，明细每一笔款项的使用状态和使用途径，保障每一笔资金的正确使用。</w:t>
      </w:r>
    </w:p>
    <w:p w14:paraId="2228B9D4">
      <w:pPr>
        <w:keepNext w:val="0"/>
        <w:keepLines w:val="0"/>
        <w:pageBreakBefore w:val="0"/>
        <w:widowControl w:val="0"/>
        <w:shd w:val="clear"/>
        <w:kinsoku/>
        <w:wordWrap/>
        <w:overflowPunct/>
        <w:topLinePunct w:val="0"/>
        <w:autoSpaceDE/>
        <w:autoSpaceDN/>
        <w:bidi w:val="0"/>
        <w:adjustRightInd/>
        <w:snapToGrid/>
        <w:spacing w:line="360" w:lineRule="auto"/>
        <w:ind w:firstLine="640" w:firstLineChars="200"/>
        <w:textAlignment w:val="auto"/>
        <w:outlineLvl w:val="9"/>
        <w:rPr>
          <w:rFonts w:hint="eastAsia" w:ascii="Times New Roman" w:hAnsi="Times New Roman" w:eastAsia="仿宋" w:cs="Times New Roman"/>
          <w:color w:val="auto"/>
          <w:kern w:val="10"/>
          <w:sz w:val="32"/>
          <w:szCs w:val="32"/>
          <w:highlight w:val="none"/>
          <w:lang w:val="en-US" w:eastAsia="zh-CN"/>
        </w:rPr>
      </w:pPr>
    </w:p>
    <w:bookmarkEnd w:id="58"/>
    <w:p w14:paraId="09CD63BD">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eastAsia="zh-CN"/>
        </w:rPr>
      </w:pPr>
    </w:p>
    <w:p w14:paraId="65F7FCDE">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pPr>
    </w:p>
    <w:p w14:paraId="6861AC2B">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sectPr>
          <w:pgSz w:w="11906" w:h="16838"/>
          <w:pgMar w:top="1440" w:right="1800" w:bottom="1440" w:left="1800" w:header="851" w:footer="992" w:gutter="0"/>
          <w:cols w:space="720" w:num="1"/>
          <w:rtlGutter w:val="0"/>
          <w:docGrid w:linePitch="312" w:charSpace="0"/>
        </w:sectPr>
      </w:pPr>
    </w:p>
    <w:p w14:paraId="5B3163B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61" w:name="_Toc24144"/>
      <w:bookmarkStart w:id="62" w:name="_Toc2029"/>
      <w:r>
        <w:rPr>
          <w:rFonts w:hint="eastAsia"/>
          <w:b/>
          <w:bCs/>
          <w:color w:val="auto"/>
          <w:sz w:val="36"/>
          <w:szCs w:val="36"/>
          <w:highlight w:val="none"/>
          <w:lang w:val="en-US" w:eastAsia="zh-CN"/>
        </w:rPr>
        <w:t>十、规划的衔接、协调</w:t>
      </w:r>
      <w:bookmarkEnd w:id="61"/>
      <w:bookmarkEnd w:id="62"/>
    </w:p>
    <w:p w14:paraId="38C42977">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3" w:name="_Toc767"/>
      <w:bookmarkStart w:id="64" w:name="_Toc74146689"/>
      <w:bookmarkStart w:id="65" w:name="_Toc8480"/>
      <w:r>
        <w:rPr>
          <w:rFonts w:hint="eastAsia" w:ascii="Times New Roman" w:hAnsi="Times New Roman" w:eastAsia="仿宋" w:cs="Times New Roman"/>
          <w:b/>
          <w:bCs/>
          <w:color w:val="auto"/>
          <w:sz w:val="32"/>
          <w:szCs w:val="32"/>
          <w:highlight w:val="none"/>
          <w:lang w:val="en-US" w:eastAsia="zh-CN"/>
        </w:rPr>
        <w:t>（一）与国家生态修复领域重大规划的衔接</w:t>
      </w:r>
      <w:bookmarkEnd w:id="63"/>
      <w:bookmarkEnd w:id="64"/>
      <w:bookmarkEnd w:id="65"/>
    </w:p>
    <w:p w14:paraId="37334AF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bookmarkStart w:id="66" w:name="_Toc74146690"/>
      <w:bookmarkStart w:id="67" w:name="_Toc15033"/>
      <w:r>
        <w:rPr>
          <w:rFonts w:hint="eastAsia" w:ascii="Times New Roman" w:hAnsi="Times New Roman" w:eastAsia="仿宋" w:cs="Times New Roman"/>
          <w:color w:val="auto"/>
          <w:spacing w:val="0"/>
          <w:sz w:val="32"/>
          <w:highlight w:val="none"/>
          <w:lang w:val="en-US" w:eastAsia="zh-CN"/>
        </w:rPr>
        <w:t>《规划》与《全国重要生态系统保护和修复重大工程总体规划（2021-2035年）》进行了较好的衔接，基于赣州市市域层面上，对重要生态系统保护和修复重大工程以等内容进行了一定的吸纳借鉴。</w:t>
      </w:r>
    </w:p>
    <w:p w14:paraId="2DCC74F6">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中，在重要生态系统保护和修复重大工程中，按照《全国重要生态系统保护和修复重大工程总体规划（2021-2035年）》中长江重点生态区生态保护和修复重大工程中涉及江西省的区域工作安排的部分，结合赣州市市域范围实际情况，合理布设南方丘陵区赣州地区的矿山生态修复工程等重大工程。</w:t>
      </w:r>
    </w:p>
    <w:p w14:paraId="411D8DAB">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8" w:name="_Toc27240"/>
      <w:r>
        <w:rPr>
          <w:rFonts w:hint="eastAsia" w:ascii="Times New Roman" w:hAnsi="Times New Roman" w:eastAsia="仿宋" w:cs="Times New Roman"/>
          <w:b/>
          <w:bCs/>
          <w:color w:val="auto"/>
          <w:sz w:val="32"/>
          <w:szCs w:val="32"/>
          <w:highlight w:val="none"/>
          <w:lang w:val="en-US" w:eastAsia="zh-CN"/>
        </w:rPr>
        <w:t>（二）与江西省重大发展战略规划的衔接</w:t>
      </w:r>
      <w:bookmarkEnd w:id="66"/>
      <w:bookmarkEnd w:id="67"/>
      <w:bookmarkEnd w:id="68"/>
    </w:p>
    <w:p w14:paraId="4BDF65D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1、《市县国土空间生态修复规划编制指南(试行）》的衔接</w:t>
      </w:r>
    </w:p>
    <w:p w14:paraId="1A83141C">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严格按照《江西省自然资源厅办公室关于开展市县级国土空间生态修复规划编制工作通知》（赣自然资办发〔2021〕67号）文件中的《市县国土空间生态修复规划编制指南(试行）》进行相关内容编制，在分析评价、专题研究、规划目标、规划指标、修复分区、重点区域、重点任务、重大工程以及规划实施保障措施等方面与《市县国土空间生态修复规划编制指南(试行）》进行了较好的衔接。</w:t>
      </w:r>
    </w:p>
    <w:p w14:paraId="478B25F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在分析评价方面，结合编制指南，统一对规划区域做了有关自然地理条件、生态系统状况等方面的分析，然后针对规划空间全域及生态、农业、城镇空间以及三类空间相邻或冲突区域进行了生态问题识别和分析评判。</w:t>
      </w:r>
    </w:p>
    <w:p w14:paraId="524F62F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在重点内容方面，规划目标中与编制指南中有关内容相衔接，均以2020年为基准年，提出了分阶段的国土空间生态修复目标，与编制指南中近景（2025年）、展望（2035年）规划目标不同的是，赣州市国土空间生态修复规划结合了本省生态本底优势和生态实际现状，围绕提升生态系统质量和稳定性，设定了近期（2025年）规划目标和远景（2035年）规划目标；规划指标方面，指标选取大致方向与编制指南保持一致，同时又考虑了全市生态现状以及指标的获取难易性、落地性和可操作性等，大致分为生态质量、农田生态质量、城市生态质量以及矿山生态质量等4大类，选取了包括生物多样性保护（国家重点保护野生动植物物种保护率）、生态保护红线占国土面积比例、生态园林城市占比等16个指标；修复分区方面，与编制指南有关内容保持衔接一致，均是在本市国土空间规划确定的生态安全格局的基础上，突出了本市自然地理和生态系统的完整性、连通性，以重点流域、区域等为基础单元，以分区划定全覆盖、不交叉、不重叠为前提，进行了国土空间生态修复总体布局和生态修复分区，并针对各分区中的主要生态问题明确各分区的生态修复主攻方向；重点区域中，结合省级层面和市级层面的生态安全战略格局和重点地区，同时考虑龙南的区域特色，确定龙南市生态修复重点区域；重点任务方面，与编制指南中有关规定保持一致，在不同的修复分区中，结合区域内自然生态状况，大致安排了生态空间、农业空间、城镇空间、三类空间相邻或冲突区域等重大任务；重大工程方面，在生态修复分区和重点任务安排的基础上，考虑到流域、区域特色、生态本底现状等因素，布设了矿山生态环境综合治理与农田生态提质工程、水土保持综合治理工程、亚热带森林质量提升及生物多样性保护生态廊道建设工程；规划实施保障措施方面，与编制指南相衔接，同时综合考虑国土空间生态修复规划期内的生态修复有关内容及相关的规划实施效益以及规划传导性。</w:t>
      </w:r>
    </w:p>
    <w:p w14:paraId="1816477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2、《江西省“十四五”国土空间生态修复规划》的衔接</w:t>
      </w:r>
    </w:p>
    <w:p w14:paraId="5FB0015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《规划》与《江西省“十四五”国土空间生态修复规划》进了充分的对接，总体布局与省规把赣州定位为赣南山地丘陵水源涵养保护修复核心区基本一致。规划指标方面也基本与省规大致一致。</w:t>
      </w:r>
    </w:p>
    <w:p w14:paraId="77933F19">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69" w:name="_Toc16832"/>
      <w:r>
        <w:rPr>
          <w:rFonts w:hint="eastAsia" w:ascii="Times New Roman" w:hAnsi="Times New Roman" w:eastAsia="仿宋" w:cs="Times New Roman"/>
          <w:b/>
          <w:bCs/>
          <w:color w:val="auto"/>
          <w:sz w:val="32"/>
          <w:szCs w:val="32"/>
          <w:highlight w:val="none"/>
          <w:lang w:val="en-US" w:eastAsia="zh-CN"/>
        </w:rPr>
        <w:t>（三）与赣州市“十四五”国土空间生态修复规划的衔接</w:t>
      </w:r>
      <w:bookmarkEnd w:id="69"/>
    </w:p>
    <w:p w14:paraId="7BFFEFE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生态修复工作涉及面广，涉及的生态修复要素和相关工作包含了改革委、水利、农业、林业、水土保持和生态环境等部门，为充分保障规划文本的权威性、准确性和可行性，规划编制在规划目标、指标、工程等多个方面与这些“十四五”专项规划进行了衔接。</w:t>
      </w:r>
    </w:p>
    <w:p w14:paraId="0E43DB06">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0" w:name="_Toc3249"/>
      <w:r>
        <w:rPr>
          <w:rFonts w:hint="eastAsia" w:ascii="Times New Roman" w:hAnsi="Times New Roman" w:eastAsia="仿宋" w:cs="Times New Roman"/>
          <w:b/>
          <w:bCs/>
          <w:color w:val="auto"/>
          <w:sz w:val="32"/>
          <w:szCs w:val="32"/>
          <w:highlight w:val="none"/>
          <w:lang w:val="en-US" w:eastAsia="zh-CN"/>
        </w:rPr>
        <w:t>（四）与龙南市“十四五”其他专项规划的衔接</w:t>
      </w:r>
      <w:bookmarkEnd w:id="70"/>
    </w:p>
    <w:p w14:paraId="516F46E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生态修复工作涉及面广，涉及的生态修复要素和相关工作包含了改革委、水利、农业、林业、水土保持和生态环境等部门，为充分保障规划文本的权威性、准确性和可行性，规划编制在规划目标、指标、工程等多个方面与各部门“十四五”专项规划进行了衔接。</w:t>
      </w:r>
    </w:p>
    <w:p w14:paraId="10249027">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1" w:name="_Toc9932"/>
      <w:bookmarkStart w:id="72" w:name="_Toc3045"/>
      <w:r>
        <w:rPr>
          <w:rFonts w:hint="eastAsia" w:ascii="Times New Roman" w:hAnsi="Times New Roman" w:eastAsia="仿宋" w:cs="Times New Roman"/>
          <w:b/>
          <w:bCs/>
          <w:color w:val="auto"/>
          <w:sz w:val="32"/>
          <w:szCs w:val="32"/>
          <w:highlight w:val="none"/>
          <w:lang w:val="en-US" w:eastAsia="zh-CN"/>
        </w:rPr>
        <w:t>（五）与龙南市自然资源局其它相关股室“十四五”工作的衔接</w:t>
      </w:r>
      <w:bookmarkEnd w:id="71"/>
      <w:bookmarkEnd w:id="72"/>
    </w:p>
    <w:p w14:paraId="15D2DB3D">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在规划期间，编制组与市自然资源局内部相关股室就“十四五”期间生态修复保护有关工作内容进行衔接。</w:t>
      </w:r>
    </w:p>
    <w:p w14:paraId="1AF405D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其中，《规划》与国土空间规划科就今后全市国土空间开发格局、国土空间生态保护格局、国土空间生态保护修复方向等战略性问题进行了沟通和衔接。与矿业权管理股就绿色矿山建设、矿产资源保护利用政策导向等内容进行了衔接。与耕地保护监督股就永久基本农田保护等内容进行了衔接。</w:t>
      </w:r>
    </w:p>
    <w:p w14:paraId="2AAA7D1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p>
    <w:p w14:paraId="47ED96F5">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p>
    <w:p w14:paraId="0BBE568D">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sectPr>
          <w:pgSz w:w="11906" w:h="16838"/>
          <w:pgMar w:top="1440" w:right="1803" w:bottom="1440" w:left="1803" w:header="851" w:footer="992" w:gutter="0"/>
          <w:cols w:space="0" w:num="1"/>
          <w:rtlGutter w:val="0"/>
          <w:docGrid w:linePitch="312" w:charSpace="0"/>
        </w:sectPr>
      </w:pPr>
    </w:p>
    <w:p w14:paraId="7FF017EB">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73" w:name="_Toc10710_WPSOffice_Level1"/>
      <w:bookmarkStart w:id="74" w:name="_Toc24973"/>
      <w:bookmarkStart w:id="75" w:name="_Toc13665"/>
      <w:r>
        <w:rPr>
          <w:rFonts w:hint="eastAsia"/>
          <w:b/>
          <w:bCs/>
          <w:color w:val="auto"/>
          <w:sz w:val="36"/>
          <w:szCs w:val="36"/>
          <w:highlight w:val="none"/>
          <w:lang w:val="en-US" w:eastAsia="zh-CN"/>
        </w:rPr>
        <w:t>十一、公众参与及反馈意见采纳情况</w:t>
      </w:r>
      <w:bookmarkEnd w:id="73"/>
      <w:bookmarkEnd w:id="74"/>
      <w:bookmarkEnd w:id="75"/>
    </w:p>
    <w:p w14:paraId="61A053CE">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6" w:name="_Toc23996"/>
      <w:bookmarkStart w:id="77" w:name="_Toc11796"/>
      <w:bookmarkStart w:id="78" w:name="_Toc4149_WPSOffice_Level2"/>
      <w:r>
        <w:rPr>
          <w:rFonts w:hint="eastAsia" w:ascii="Times New Roman" w:hAnsi="Times New Roman" w:eastAsia="仿宋" w:cs="Times New Roman"/>
          <w:b/>
          <w:bCs/>
          <w:color w:val="auto"/>
          <w:sz w:val="32"/>
          <w:szCs w:val="32"/>
          <w:highlight w:val="none"/>
          <w:lang w:val="en-US" w:eastAsia="zh-CN"/>
        </w:rPr>
        <w:t>（一）公众参与情况说明</w:t>
      </w:r>
      <w:bookmarkEnd w:id="76"/>
      <w:bookmarkEnd w:id="77"/>
      <w:bookmarkEnd w:id="78"/>
    </w:p>
    <w:p w14:paraId="4768103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按照《江西省自然资源厅办公室关于开展市县级国土空间生态修复规划编制工作通知》（赣自然资办发〔2021〕67号）文件要求。规划编制要“坚持充分论证，公众广泛参与。坚持“开门编规划”，建立牵头组织、专家领衔、部门合作、公众参与、科学决策的跨部门多领域合作编制工作机制,组建由经验丰富技术人才参与的规划编制团队，加强部门间联系，建立衔接和协调机制，提高规划决策水平。注重专家咨询和公众参与，探索开展规划编制听证，广泛听取各方面意见，提高决策的科学性和透明度”，为此，规划编制组于 2021年12月8日将《龙南市“十四五”国土空间生态修复规划（征求意见稿）》发至龙南市自然资源局、市发改委、市财政局、市农业农村局、市水利局、市生态环境局、市林业局、市住建局、市交通局、市文广新旅局等相关部门以及龙南市各乡镇，就《规划》中桃江流域（龙南段）主要生态问题、生态修复难点热点、生态修复总体布局与分区的合理性、规划目标和相关数据等内容，广泛征求意见。</w:t>
      </w:r>
    </w:p>
    <w:p w14:paraId="696C6570">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有的部门直接在《龙南市“十四五”国土空间生态修复规划（征求意见稿）》电子稿中进行修改并作了标记；有的部门打电话到规划编制组提出建议；有的部门把相关“十四五”规划及指标数据发给规划编制组；有的部门对《规划》征求意见稿无意见。规划编制组详细整理了各部门反馈意见，在修改规划的时候给予了认真考虑和吸收采纳。</w:t>
      </w:r>
    </w:p>
    <w:p w14:paraId="0C36D9F7">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79" w:name="_Toc23666"/>
      <w:bookmarkStart w:id="80" w:name="_Toc18801_WPSOffice_Level2"/>
      <w:bookmarkStart w:id="81" w:name="_Toc25906"/>
      <w:r>
        <w:rPr>
          <w:rFonts w:hint="eastAsia" w:ascii="Times New Roman" w:hAnsi="Times New Roman" w:eastAsia="仿宋" w:cs="Times New Roman"/>
          <w:b/>
          <w:bCs/>
          <w:color w:val="auto"/>
          <w:sz w:val="32"/>
          <w:szCs w:val="32"/>
          <w:highlight w:val="none"/>
          <w:lang w:val="en-US" w:eastAsia="zh-CN"/>
        </w:rPr>
        <w:t>（二）反馈意见采纳情况</w:t>
      </w:r>
      <w:bookmarkEnd w:id="79"/>
      <w:bookmarkEnd w:id="80"/>
      <w:bookmarkEnd w:id="81"/>
    </w:p>
    <w:p w14:paraId="4B5D645B">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_GB2312" w:cs="Times New Roman"/>
          <w:color w:val="auto"/>
          <w:sz w:val="32"/>
          <w:szCs w:val="28"/>
          <w:highlight w:val="none"/>
          <w:lang w:val="en-US" w:eastAsia="zh-CN"/>
        </w:rPr>
      </w:pPr>
      <w:r>
        <w:rPr>
          <w:rFonts w:hint="eastAsia" w:ascii="Times New Roman" w:hAnsi="Times New Roman" w:eastAsia="仿宋" w:cs="Times New Roman"/>
          <w:color w:val="auto"/>
          <w:spacing w:val="0"/>
          <w:sz w:val="32"/>
          <w:highlight w:val="none"/>
          <w:lang w:val="en-US" w:eastAsia="zh-CN"/>
        </w:rPr>
        <w:t>《龙南市“十四五”国土空间生态修复规划》作为县级重点专项规划，牵涉的部门和行业众多，少数部门的规划基期数据、目标指标等规划相关数据，与已发布的</w:t>
      </w:r>
      <w:r>
        <w:rPr>
          <w:rFonts w:hint="eastAsia" w:ascii="Times New Roman" w:hAnsi="Times New Roman" w:eastAsia="仿宋_GB2312" w:cs="Times New Roman"/>
          <w:color w:val="auto"/>
          <w:sz w:val="32"/>
          <w:szCs w:val="28"/>
          <w:highlight w:val="none"/>
          <w:lang w:val="en-US" w:eastAsia="zh-CN"/>
        </w:rPr>
        <w:t>《龙南市国民经济和社会发展第十四个五年规划和二〇三五年远景目标纲要》、《龙南市2020年国民经济和社会发展统计公报》数据有出入，规划编制组在编制规划时，按照“优先采用政府已发布数据”的原则，处理各部门提出的意见和建议。</w:t>
      </w:r>
    </w:p>
    <w:p w14:paraId="5C14CEF9">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_GB2312" w:cs="Times New Roman"/>
          <w:color w:val="auto"/>
          <w:sz w:val="32"/>
          <w:szCs w:val="28"/>
          <w:highlight w:val="none"/>
          <w:lang w:val="en-US" w:eastAsia="zh-CN"/>
        </w:rPr>
      </w:pPr>
    </w:p>
    <w:p w14:paraId="0A1249FF">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_GB2312" w:cs="Times New Roman"/>
          <w:color w:val="auto"/>
          <w:sz w:val="32"/>
          <w:szCs w:val="28"/>
          <w:highlight w:val="none"/>
          <w:lang w:val="en-US" w:eastAsia="zh-CN"/>
        </w:rPr>
      </w:pPr>
    </w:p>
    <w:p w14:paraId="1EE7B709">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pacing w:val="0"/>
          <w:sz w:val="32"/>
          <w:highlight w:val="none"/>
          <w:lang w:val="en-US" w:eastAsia="zh-CN"/>
        </w:rPr>
        <w:sectPr>
          <w:pgSz w:w="11906" w:h="16838"/>
          <w:pgMar w:top="1440" w:right="1803" w:bottom="1440" w:left="1803" w:header="851" w:footer="992" w:gutter="0"/>
          <w:cols w:space="0" w:num="1"/>
          <w:rtlGutter w:val="0"/>
          <w:docGrid w:linePitch="312" w:charSpace="0"/>
        </w:sectPr>
      </w:pPr>
    </w:p>
    <w:p w14:paraId="2FA6353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82" w:name="_Toc6693"/>
      <w:bookmarkStart w:id="83" w:name="_Toc31158"/>
      <w:r>
        <w:rPr>
          <w:rFonts w:hint="eastAsia"/>
          <w:b/>
          <w:bCs/>
          <w:color w:val="auto"/>
          <w:sz w:val="36"/>
          <w:szCs w:val="36"/>
          <w:highlight w:val="none"/>
          <w:lang w:val="en-US" w:eastAsia="zh-CN"/>
        </w:rPr>
        <w:t>十二、规划成果</w:t>
      </w:r>
      <w:bookmarkEnd w:id="82"/>
      <w:bookmarkEnd w:id="83"/>
    </w:p>
    <w:p w14:paraId="7109A259">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4" w:name="_Toc29337"/>
      <w:bookmarkStart w:id="85" w:name="_Toc15396"/>
      <w:r>
        <w:rPr>
          <w:rFonts w:hint="eastAsia" w:ascii="Times New Roman" w:hAnsi="Times New Roman" w:eastAsia="仿宋" w:cs="Times New Roman"/>
          <w:b/>
          <w:bCs/>
          <w:color w:val="auto"/>
          <w:sz w:val="32"/>
          <w:szCs w:val="32"/>
          <w:highlight w:val="none"/>
          <w:lang w:val="en-US" w:eastAsia="zh-CN"/>
        </w:rPr>
        <w:t>（一）规划文本</w:t>
      </w:r>
      <w:bookmarkEnd w:id="84"/>
      <w:bookmarkEnd w:id="85"/>
    </w:p>
    <w:p w14:paraId="6CE8643B">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规划基础和面临形势</w:t>
      </w:r>
    </w:p>
    <w:p w14:paraId="5BF02D64">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主要从龙南市自然地理和生态现状、生态修复工作成效、形势与要求、机遇与挑战、存在的主要问题和风险等5个方面对开展龙南市“十四五”国土空间生态修复规划工作的基础和面临的形势展开了分析。</w:t>
      </w:r>
    </w:p>
    <w:p w14:paraId="299EA465">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指导思想、基本原则和规划目标</w:t>
      </w:r>
    </w:p>
    <w:p w14:paraId="1B3CD3D3">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规划》坚持以习近平新时代中国特色社会主义思想为指导，深入贯彻落实习近平生态文明思想和习近平总书记视察江西重要讲话精神，坚持人与自然和谐共生、保护优先绿色发展的方针，树立和践行“绿水青山就是金山银山”的生态文明发展理念。坚持保护优先、自然恢复为主，坚持问题导向、突出重点难点，坚持因地制宜、注重分类施策，坚持多元化投入、强化项目落地，坚持充分论证、公众广泛参与的原则，在与上位规划及本级相关部门规划的衔接基础上确立了近期（2025年）规划目标和远景（2035年）规划目标。</w:t>
      </w:r>
    </w:p>
    <w:p w14:paraId="496AF444">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总体布局</w:t>
      </w:r>
    </w:p>
    <w:p w14:paraId="7F9FE8CA">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为充分贯彻落实国家“两屏三带”中的“南方丘陵山地带”国家生态安全战略格局和江西省“一带、二核、三网、六区”中的赣南山地丘陵水源涵养保护修复核心区的总体布局，以及赣州市“一带、三屏、三源、多组团”的生态保护修复格局，依托龙南市的自然本底和“一屏一区两脉五河”的生态安全格局，奉行山水林田湖草生命共同体理念，聚焦区内生态系统质量提升、生态系统稳定性提高、生态系统功能强化的生态修复总目标，统筹山地与水流域生态系统的完整性、生态空间异质性、生态系统的循环发展性、人类社会与自然环境的协调性、地理单元的连续性、社会经济发展的可持续性，在紧密衔接省、市上位规划和龙南市本级相关行业部门规划的基础上，将龙南市国土空间生态保护修复格局确定为“</w:t>
      </w:r>
      <w:r>
        <w:rPr>
          <w:rFonts w:hint="eastAsia" w:ascii="Times New Roman" w:hAnsi="Times New Roman" w:eastAsia="仿宋" w:cs="Times New Roman"/>
          <w:b/>
          <w:bCs/>
          <w:color w:val="auto"/>
          <w:spacing w:val="0"/>
          <w:sz w:val="32"/>
          <w:highlight w:val="none"/>
          <w:lang w:val="en-US" w:eastAsia="zh-CN"/>
        </w:rPr>
        <w:t>一屏三网三区</w:t>
      </w:r>
      <w:r>
        <w:rPr>
          <w:rFonts w:hint="eastAsia" w:ascii="Times New Roman" w:hAnsi="Times New Roman" w:eastAsia="仿宋" w:cs="Times New Roman"/>
          <w:color w:val="auto"/>
          <w:spacing w:val="0"/>
          <w:sz w:val="32"/>
          <w:highlight w:val="none"/>
          <w:lang w:val="en-US" w:eastAsia="zh-CN"/>
        </w:rPr>
        <w:t>”。</w:t>
      </w:r>
    </w:p>
    <w:p w14:paraId="6EE65228">
      <w:pPr>
        <w:keepNext w:val="0"/>
        <w:keepLines w:val="0"/>
        <w:pageBreakBefore w:val="0"/>
        <w:widowControl w:val="0"/>
        <w:numPr>
          <w:ilvl w:val="0"/>
          <w:numId w:val="0"/>
        </w:numPr>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重点任务和重大工程</w:t>
      </w:r>
    </w:p>
    <w:p w14:paraId="47231C4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spacing w:val="0"/>
          <w:sz w:val="32"/>
          <w:highlight w:val="none"/>
          <w:lang w:val="en-US" w:eastAsia="zh-CN"/>
        </w:rPr>
        <w:t>坚持山水林田湖草生命共同体理念，按照天更蓝、山更绿、水更清、环境更美好的美好愿景，以“一屏、三网、三区”的国土空间生态修复布局为指引，基于生态、农业、城镇三类空间部署生态修复重点任务。根据布局，聚焦全市生态、农业、城镇以及矿山主要生态问题和主攻方向，按照提高生态质量、改善生态功能、提升生态品质、促进和谐发展的规划目标和重点任务，扎实推进以3项重大工程6个项目为抓手的全市生态修复工作。</w:t>
      </w:r>
    </w:p>
    <w:p w14:paraId="7548AC5A">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6" w:name="_Toc12487"/>
      <w:r>
        <w:rPr>
          <w:rFonts w:hint="eastAsia" w:ascii="Times New Roman" w:hAnsi="Times New Roman" w:eastAsia="仿宋" w:cs="Times New Roman"/>
          <w:b/>
          <w:bCs/>
          <w:color w:val="auto"/>
          <w:sz w:val="32"/>
          <w:szCs w:val="32"/>
          <w:highlight w:val="none"/>
          <w:lang w:val="en-US" w:eastAsia="zh-CN"/>
        </w:rPr>
        <w:t>（二）规划说明</w:t>
      </w:r>
      <w:bookmarkEnd w:id="86"/>
    </w:p>
    <w:p w14:paraId="51C7657F">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规划编制背景</w:t>
      </w:r>
    </w:p>
    <w:p w14:paraId="5C7EF51D">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规划编制意义、省级层面、市级对规划编制的需求以及县级层面对规划编制的需求等三个方面对《规划》编制的相关背景展开了分析，认为龙南市在赣州市具有重要的生态地位，编好龙南市国土空间生态修复规划，对龙南市由全面建成小康社会并向基本实现社会主义现代化迈进、为赣州市其他下辖各县，地级市提供生态修复示范、优化城市社会经济及生态保护工程战略部署、推进山水林田湖草沙综合治理、筑牢我国南方地区重要生态安全屏障、营造城市生态和谐氛围具有重大深远意义，是实现生态文明建设与社会经济发展齐头并进，可持续发展与高质量发展双管齐下的现实性战略需要。</w:t>
      </w:r>
    </w:p>
    <w:p w14:paraId="70A0EB07">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规划编制过程</w:t>
      </w:r>
    </w:p>
    <w:p w14:paraId="27CFB5AB">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编制依据、编制原则和编制过程等三个方面对规划编制过程进行了分析。《规划》将有关生态修复规划的相关法律法规文件、党中央重大决策部署及区域重大战略、相关政策文件以及相关技术文件等政策文件支撑，作为《规划》编制依据；再基于</w:t>
      </w:r>
      <w:r>
        <w:rPr>
          <w:rFonts w:hint="eastAsia" w:ascii="Times New Roman" w:hAnsi="Times New Roman" w:eastAsia="仿宋" w:cs="Times New Roman"/>
          <w:color w:val="auto"/>
          <w:spacing w:val="0"/>
          <w:sz w:val="32"/>
          <w:highlight w:val="none"/>
          <w:lang w:val="en-US" w:eastAsia="zh-CN"/>
        </w:rPr>
        <w:t>坚持保护优先、自然恢复为主，坚持问题导向、突出重点难点，坚持因地制宜、注重分类施策，坚持多元化投入、强化项目落地，坚持充分论证、公众广泛参与</w:t>
      </w:r>
      <w:r>
        <w:rPr>
          <w:rFonts w:hint="eastAsia" w:ascii="Times New Roman" w:hAnsi="Times New Roman" w:eastAsia="仿宋" w:cs="Times New Roman"/>
          <w:color w:val="auto"/>
          <w:kern w:val="10"/>
          <w:sz w:val="32"/>
          <w:szCs w:val="32"/>
          <w:highlight w:val="none"/>
          <w:lang w:val="en-US" w:eastAsia="zh-CN"/>
        </w:rPr>
        <w:t>等为基本编制原则，通过编制工作准备阶段、规划文本编制阶段、文本讨论与完善阶段、征求意见及论证阶段等四个阶段展开了《规划》编制工作。</w:t>
      </w:r>
    </w:p>
    <w:p w14:paraId="50853507">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3. 规划基础数据</w:t>
      </w:r>
    </w:p>
    <w:p w14:paraId="1B679ECD">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基础数据、来源及用途说明，基础图件编制说明等方面开展了规划基础数据分析。《规划》所用基础数据主要包括自然地理、生态环境分析评价、其他生态状况分析评价、经济社会、相关规划成果以及文献资料等内容，基础图件则涵盖了总体布局图、重大工程布局图以及自然和生态环境评估成果图等内容。</w:t>
      </w:r>
    </w:p>
    <w:p w14:paraId="4CD9BB82">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4. 规划目标设置依据及指标说明</w:t>
      </w:r>
    </w:p>
    <w:p w14:paraId="7092EA1A">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目标设置依据、主要指标设置说明等方面对规划中16个主要指标的基期值及目标值的来源出处和设定作了详细说明。规划目标的设置和主要指标的设定，主要衔接和统筹协调了《龙南市国民经济和社会发展第十四个五年规划和二〇三五年远景目标纲要》、《江西省“十四五”国土空间生态修复规划》、《赣州市“十四五”国土空间生态修复规划》、《龙南市“十四五”林业发展规划》、《龙南市“十四五”水利发展规划报告》、《龙南市“十四五”生态环境保护规划》、《龙南市“十四五”时期现代农业发展规划》、《龙南市矿产资源总体规划（</w:t>
      </w:r>
      <w:r>
        <w:rPr>
          <w:rFonts w:hint="default" w:ascii="Times New Roman" w:hAnsi="Times New Roman" w:eastAsia="仿宋" w:cs="Times New Roman"/>
          <w:color w:val="auto"/>
          <w:kern w:val="10"/>
          <w:sz w:val="32"/>
          <w:szCs w:val="32"/>
          <w:highlight w:val="none"/>
          <w:lang w:val="en-US" w:eastAsia="zh-CN"/>
        </w:rPr>
        <w:t>20</w:t>
      </w:r>
      <w:r>
        <w:rPr>
          <w:rFonts w:hint="eastAsia" w:ascii="Times New Roman" w:hAnsi="Times New Roman" w:eastAsia="仿宋" w:cs="Times New Roman"/>
          <w:color w:val="auto"/>
          <w:kern w:val="10"/>
          <w:sz w:val="32"/>
          <w:szCs w:val="32"/>
          <w:highlight w:val="none"/>
          <w:lang w:val="en-US" w:eastAsia="zh-CN"/>
        </w:rPr>
        <w:t>21</w:t>
      </w:r>
      <w:r>
        <w:rPr>
          <w:rFonts w:hint="default" w:ascii="Times New Roman" w:hAnsi="Times New Roman" w:eastAsia="仿宋" w:cs="Times New Roman"/>
          <w:color w:val="auto"/>
          <w:kern w:val="10"/>
          <w:sz w:val="32"/>
          <w:szCs w:val="32"/>
          <w:highlight w:val="none"/>
          <w:lang w:val="en-US" w:eastAsia="zh-CN"/>
        </w:rPr>
        <w:t>-2025</w:t>
      </w:r>
      <w:r>
        <w:rPr>
          <w:rFonts w:hint="eastAsia" w:ascii="Times New Roman" w:hAnsi="Times New Roman" w:eastAsia="仿宋" w:cs="Times New Roman"/>
          <w:color w:val="auto"/>
          <w:kern w:val="10"/>
          <w:sz w:val="32"/>
          <w:szCs w:val="32"/>
          <w:highlight w:val="none"/>
          <w:lang w:val="en-US" w:eastAsia="zh-CN"/>
        </w:rPr>
        <w:t>）》、《龙南市2021年换届政府工作报告》等相关规划和资料。</w:t>
      </w:r>
    </w:p>
    <w:p w14:paraId="496FEA13">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5. 生态修复分区</w:t>
      </w:r>
    </w:p>
    <w:p w14:paraId="7886C45C">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以龙南市生态问题为“解题”思路，通盘考虑龙南市生态本底与社会经济发展现状，精准研判龙南市生态形势与社会经济发展趋势，着眼长远可持续发展要求，高位推进山水林田湖草共同体理念，统筹谋划国土空间生态修复治理，精心部署国土空间生态修复工程，构建人与自然和谐关系，实现“两山”价值的顺利转化，反复酝酿得出龙南市国土空间生态修复分区。分区归纳整饬各个行政范围的生态问题，全面考虑生态系统功能性与生态单元整体性，查清生态病灶所在，断明生态问题题眼所为，巩固拓展现有生态治理成果，重点突出生态功能关键区与生态脆弱敏感区，根据生态问题的轻重缓急划分优先级，综合分析各个区域生态问题的趋同与否，确定优先保护与重点修护区域。经过仔细推敲认真梳理，将龙南市国土空间生态修复分区分为北部濂江流域水土保持与城市工矿生态修复区、中部桃江、渥江流域矿山与农田生态修复区、南部山地丘陵水源涵养与生物多样性生态修复区共3类生态修复区域。</w:t>
      </w:r>
    </w:p>
    <w:p w14:paraId="40985728">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6. 重点任务安排依据与说明</w:t>
      </w:r>
    </w:p>
    <w:p w14:paraId="2F1EB097">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按照省自然资源厅《市县国土空间生态修复规划编制指南（试行）》文件要求，提出重点任务，要切实贯彻党中央、国务院重大决策部署和各级党委政府生态文明建设要求，衔接区域发展战略，着力落实上级国土空间规划和国家重大生态修复规划明确的生态修复任务。在生态、农业、城镇等三类空间主要生态问题分析成果的基础上布设各分区重点任务，科学安排在重要生态廊道和生态网络构建、生态空间生态修复、农业空间生态修复、城镇空间生态修复、三类空间相邻或冲突区域生态修复等五个方面。结合实际情况，以龙南市“一屏三网三区”的国土空间生态修复总体布局为指引，围绕解决全市生态、农业、城镇、矿山等领域面临的主要生态问题，根据规划期各生态修复分区的主攻方向，把重点任务安排在生态空间生态修复、农业空间生态修复、城镇空间生态修复、生物多样性保护及生态保护修复制度建设等五项任务之中。</w:t>
      </w:r>
    </w:p>
    <w:p w14:paraId="0B9278FD">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7. 重大工程布设依据与说明</w:t>
      </w:r>
    </w:p>
    <w:p w14:paraId="1E9D88FF">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重大工程是落实规划任务、实现规划目标的主要抓手。定位县（区、市）级规划，重大工程布设主要遵循落实国家生态修复和生物多样性保护重大工程、落实省、市“十四五”国土空间生态修复规划重大工程、落实龙南市“十四五”纲要有关生态修复重大工程、衔接县级相关行业部门规划重大工程等依据。最后根据龙南市“一屏三网三区”的生态修复布局，聚焦全市生态、农业、城镇三大空间主要生态环境问题和主攻方向，按照提高生态质量、改善生态功能、提升生态品质、促进和谐发展的规划目标和重点任务，建设美丽生态城市和生态乡村，扎实推进以森林、河流、湿地、农田、城市、矿山为对象的三大空间的生态保护修复工作，部署了矿山生态环境综合治理与农田生态提质工程、水土保持综合治理工程、亚热带森林质量提升及生物多样性保护生态廊道建设工程等3项重大工程6个项目为抓手的全市生态修复工作。</w:t>
      </w:r>
    </w:p>
    <w:p w14:paraId="70E612C6">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8. 成本效益</w:t>
      </w:r>
    </w:p>
    <w:p w14:paraId="4548C91D">
      <w:pPr>
        <w:pStyle w:val="8"/>
        <w:keepNext w:val="0"/>
        <w:keepLines w:val="0"/>
        <w:pageBreakBefore w:val="0"/>
        <w:widowControl w:val="0"/>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《规划》从资金需求与估算依据、生态修复实施效益两个方面对规划实施需要投入的资金、预期可产生的效益及其构成进行了比较详实的论述。</w:t>
      </w:r>
    </w:p>
    <w:p w14:paraId="1340869B">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9. 规划保障机制</w:t>
      </w:r>
    </w:p>
    <w:p w14:paraId="566E7827">
      <w:pPr>
        <w:pStyle w:val="8"/>
        <w:keepNext w:val="0"/>
        <w:keepLines w:val="0"/>
        <w:pageBreakBefore w:val="0"/>
        <w:widowControl w:val="0"/>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《规划》在规划保障机制方面从省市两级生态修复实施相关政策措施和规划实施保障机制主要内容等二方面对规划工作开展的保障机制进行了分析研究。</w:t>
      </w:r>
    </w:p>
    <w:p w14:paraId="779CEFCC">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10. 规划的衔接、协调</w:t>
      </w:r>
    </w:p>
    <w:p w14:paraId="575E2ED2">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主要进行了与国家生态修复领域重大规划、与江西省重大发展战略规划、与赣州市重大发展战略规划的衔接、与龙南市“十四五”纲要及相关行业部门规划、与龙南市自然资源局其它相关股室“十四五”工作等方面的衔接、协调。</w:t>
      </w:r>
    </w:p>
    <w:p w14:paraId="1F9807B1">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11. 公众参与情况</w:t>
      </w:r>
    </w:p>
    <w:p w14:paraId="3BD57282">
      <w:pPr>
        <w:keepNext w:val="0"/>
        <w:keepLines w:val="0"/>
        <w:pageBreakBefore w:val="0"/>
        <w:widowControl w:val="0"/>
        <w:shd w:val="clear"/>
        <w:kinsoku/>
        <w:wordWrap/>
        <w:overflowPunct/>
        <w:topLinePunct w:val="0"/>
        <w:autoSpaceDE/>
        <w:autoSpaceDN/>
        <w:bidi w:val="0"/>
        <w:adjustRightInd/>
        <w:snapToGrid/>
        <w:spacing w:line="312" w:lineRule="auto"/>
        <w:ind w:firstLine="640" w:firstLineChars="200"/>
        <w:textAlignment w:val="auto"/>
        <w:outlineLvl w:val="9"/>
        <w:rPr>
          <w:rFonts w:hint="eastAsia" w:ascii="Times New Roman" w:hAnsi="Times New Roman" w:eastAsia="仿宋" w:cs="Times New Roman"/>
          <w:color w:val="auto"/>
          <w:spacing w:val="0"/>
          <w:sz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《规划》在公众参与情况方面，</w:t>
      </w:r>
      <w:r>
        <w:rPr>
          <w:rFonts w:hint="eastAsia" w:ascii="Times New Roman" w:hAnsi="Times New Roman" w:eastAsia="仿宋" w:cs="Times New Roman"/>
          <w:color w:val="auto"/>
          <w:spacing w:val="0"/>
          <w:sz w:val="32"/>
          <w:highlight w:val="none"/>
          <w:lang w:val="en-US" w:eastAsia="zh-CN"/>
        </w:rPr>
        <w:t>规划编制组将《规划》发至龙南市自然资源局、市发改委、市财政局、市农业农村局、市水利局、市生态环境局、市林业局、市住建局、市交通局、市文广新旅局等相关部门以及龙南市各乡镇，就《规划》中桃江流域（龙南段）主要生态问题、生态修复难点热点、生态修复总体布局与分区的合理性、规划目标和相关数据等内容，广泛征求意见。</w:t>
      </w:r>
    </w:p>
    <w:p w14:paraId="791358A8">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12. 规划成果</w:t>
      </w:r>
    </w:p>
    <w:p w14:paraId="76A058F7">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规划成果主要包括《规划》文本、编制说明以及《规划》图件等内容。</w:t>
      </w:r>
    </w:p>
    <w:p w14:paraId="024A2E5E">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7" w:name="_Toc22351"/>
      <w:r>
        <w:rPr>
          <w:rFonts w:hint="eastAsia" w:ascii="Times New Roman" w:hAnsi="Times New Roman" w:eastAsia="仿宋" w:cs="Times New Roman"/>
          <w:b/>
          <w:bCs/>
          <w:color w:val="auto"/>
          <w:sz w:val="32"/>
          <w:szCs w:val="32"/>
          <w:highlight w:val="none"/>
          <w:lang w:val="en-US" w:eastAsia="zh-CN"/>
        </w:rPr>
        <w:t>（三）规划图件</w:t>
      </w:r>
      <w:bookmarkEnd w:id="87"/>
    </w:p>
    <w:p w14:paraId="477DC1E0">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kern w:val="10"/>
          <w:sz w:val="32"/>
          <w:szCs w:val="32"/>
          <w:highlight w:val="none"/>
          <w:lang w:val="en-US" w:eastAsia="zh-CN"/>
        </w:rPr>
      </w:pPr>
      <w:r>
        <w:rPr>
          <w:rFonts w:hint="eastAsia" w:ascii="Times New Roman" w:hAnsi="Times New Roman" w:eastAsia="仿宋" w:cs="Times New Roman"/>
          <w:color w:val="auto"/>
          <w:kern w:val="10"/>
          <w:sz w:val="32"/>
          <w:szCs w:val="32"/>
          <w:highlight w:val="none"/>
          <w:lang w:val="en-US" w:eastAsia="zh-CN"/>
        </w:rPr>
        <w:t>《规划》主要图件包括龙南市自然生态环境现状基础分析图、评价分析图和规划成果图等16张附图。具体为：地理位置图、自然地理格局图、小流域分布图、交通干线网络图、自然保护地分布图、历史遗留矿山分布图、城乡空间发展格局示意图、生态保护重要性评价图、生态服务功能重要性评价图、生态敏感性评价图、农业适宜性评价图、城镇适宜性评价图、国家及江西省关于龙南市主体功能区划图、生态安全格局示意图、生态修复总体布局图、生态修复重大工程分布图。</w:t>
      </w:r>
    </w:p>
    <w:p w14:paraId="434D1DC3">
      <w:pPr>
        <w:pStyle w:val="8"/>
        <w:keepNext w:val="0"/>
        <w:keepLines w:val="0"/>
        <w:pageBreakBefore w:val="0"/>
        <w:widowControl w:val="0"/>
        <w:shd w:val="clear"/>
        <w:kinsoku/>
        <w:wordWrap/>
        <w:overflowPunct/>
        <w:topLinePunct w:val="0"/>
        <w:autoSpaceDE/>
        <w:autoSpaceDN/>
        <w:bidi w:val="0"/>
        <w:adjustRightInd/>
        <w:snapToGrid/>
        <w:spacing w:after="0" w:line="240" w:lineRule="atLeast"/>
        <w:ind w:left="0" w:right="0" w:firstLine="420" w:firstLineChars="200"/>
        <w:jc w:val="both"/>
        <w:textAlignment w:val="auto"/>
        <w:outlineLvl w:val="9"/>
        <w:rPr>
          <w:rFonts w:hint="eastAsia" w:ascii="Times New Roman" w:hAnsi="Times New Roman" w:eastAsia="仿宋" w:cs="Times New Roman"/>
          <w:color w:val="auto"/>
          <w:kern w:val="10"/>
          <w:sz w:val="21"/>
          <w:szCs w:val="21"/>
          <w:highlight w:val="none"/>
          <w:lang w:val="en-US" w:eastAsia="zh-CN"/>
        </w:rPr>
      </w:pPr>
    </w:p>
    <w:p w14:paraId="640EF58F">
      <w:pPr>
        <w:pStyle w:val="8"/>
        <w:keepNext w:val="0"/>
        <w:keepLines w:val="0"/>
        <w:pageBreakBefore w:val="0"/>
        <w:widowControl w:val="0"/>
        <w:shd w:val="clear"/>
        <w:kinsoku/>
        <w:wordWrap/>
        <w:overflowPunct/>
        <w:topLinePunct w:val="0"/>
        <w:autoSpaceDE/>
        <w:autoSpaceDN/>
        <w:bidi w:val="0"/>
        <w:adjustRightInd/>
        <w:snapToGrid/>
        <w:spacing w:after="0" w:line="240" w:lineRule="atLeast"/>
        <w:ind w:left="0" w:right="0" w:firstLine="420" w:firstLineChars="200"/>
        <w:jc w:val="both"/>
        <w:textAlignment w:val="auto"/>
        <w:outlineLvl w:val="9"/>
        <w:rPr>
          <w:rFonts w:hint="eastAsia" w:ascii="Times New Roman" w:hAnsi="Times New Roman" w:eastAsia="仿宋" w:cs="Times New Roman"/>
          <w:color w:val="auto"/>
          <w:kern w:val="10"/>
          <w:sz w:val="21"/>
          <w:szCs w:val="21"/>
          <w:highlight w:val="none"/>
          <w:lang w:val="en-US" w:eastAsia="zh-CN"/>
        </w:rPr>
      </w:pPr>
    </w:p>
    <w:p w14:paraId="5D6D50C8">
      <w:pPr>
        <w:pStyle w:val="8"/>
        <w:keepNext w:val="0"/>
        <w:keepLines w:val="0"/>
        <w:pageBreakBefore w:val="0"/>
        <w:widowControl w:val="0"/>
        <w:shd w:val="clear"/>
        <w:kinsoku/>
        <w:wordWrap/>
        <w:overflowPunct/>
        <w:topLinePunct w:val="0"/>
        <w:autoSpaceDE/>
        <w:autoSpaceDN/>
        <w:bidi w:val="0"/>
        <w:adjustRightInd/>
        <w:snapToGrid/>
        <w:spacing w:after="0" w:line="240" w:lineRule="atLeast"/>
        <w:ind w:left="0" w:right="0" w:firstLine="420" w:firstLineChars="200"/>
        <w:jc w:val="both"/>
        <w:textAlignment w:val="auto"/>
        <w:outlineLvl w:val="9"/>
        <w:rPr>
          <w:rFonts w:hint="eastAsia" w:ascii="Times New Roman" w:hAnsi="Times New Roman" w:eastAsia="仿宋" w:cs="Times New Roman"/>
          <w:color w:val="auto"/>
          <w:kern w:val="10"/>
          <w:sz w:val="21"/>
          <w:szCs w:val="21"/>
          <w:highlight w:val="none"/>
          <w:lang w:val="en-US" w:eastAsia="zh-CN"/>
        </w:rPr>
        <w:sectPr>
          <w:pgSz w:w="11906" w:h="16838"/>
          <w:pgMar w:top="1440" w:right="1803" w:bottom="1440" w:left="1803" w:header="851" w:footer="992" w:gutter="0"/>
          <w:cols w:space="0" w:num="1"/>
          <w:rtlGutter w:val="0"/>
          <w:docGrid w:linePitch="312" w:charSpace="0"/>
        </w:sectPr>
      </w:pPr>
    </w:p>
    <w:p w14:paraId="449E1065">
      <w:pPr>
        <w:keepNext w:val="0"/>
        <w:keepLines w:val="0"/>
        <w:pageBreakBefore w:val="0"/>
        <w:widowControl w:val="0"/>
        <w:numPr>
          <w:ilvl w:val="0"/>
          <w:numId w:val="0"/>
        </w:numPr>
        <w:shd w:val="clear"/>
        <w:kinsoku/>
        <w:wordWrap/>
        <w:overflowPunct/>
        <w:topLinePunct w:val="0"/>
        <w:autoSpaceDE/>
        <w:autoSpaceDN/>
        <w:bidi w:val="0"/>
        <w:adjustRightInd/>
        <w:snapToGrid/>
        <w:spacing w:before="0" w:beforeLines="50" w:after="0" w:afterLines="50" w:line="360" w:lineRule="auto"/>
        <w:textAlignment w:val="auto"/>
        <w:outlineLvl w:val="1"/>
        <w:rPr>
          <w:rFonts w:hint="eastAsia" w:ascii="Times New Roman" w:hAnsi="Times New Roman" w:eastAsia="仿宋" w:cs="Times New Roman"/>
          <w:b/>
          <w:bCs/>
          <w:color w:val="auto"/>
          <w:sz w:val="32"/>
          <w:szCs w:val="32"/>
          <w:highlight w:val="none"/>
          <w:lang w:val="en-US" w:eastAsia="zh-CN"/>
        </w:rPr>
      </w:pPr>
      <w:bookmarkStart w:id="88" w:name="_Toc22898"/>
      <w:r>
        <w:rPr>
          <w:rFonts w:hint="eastAsia" w:ascii="Times New Roman" w:hAnsi="Times New Roman" w:eastAsia="仿宋" w:cs="Times New Roman"/>
          <w:b/>
          <w:bCs/>
          <w:color w:val="auto"/>
          <w:sz w:val="32"/>
          <w:szCs w:val="32"/>
          <w:highlight w:val="none"/>
          <w:lang w:val="en-US" w:eastAsia="zh-CN"/>
        </w:rPr>
        <w:t>（四）规划编制协调机构及编制单位</w:t>
      </w:r>
      <w:bookmarkEnd w:id="88"/>
    </w:p>
    <w:p w14:paraId="729A7DA9">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1. 规划编制协调机构</w:t>
      </w:r>
    </w:p>
    <w:p w14:paraId="070C2B95">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eastAsia="zh-CN"/>
        </w:rPr>
        <w:t>龙南市自然资源局、</w:t>
      </w:r>
      <w:r>
        <w:rPr>
          <w:rFonts w:hint="eastAsia" w:ascii="Times New Roman" w:hAnsi="Times New Roman" w:eastAsia="仿宋" w:cs="Times New Roman"/>
          <w:color w:val="auto"/>
          <w:sz w:val="32"/>
          <w:szCs w:val="28"/>
          <w:highlight w:val="none"/>
          <w:lang w:val="en-US" w:eastAsia="zh-CN"/>
        </w:rPr>
        <w:t>龙南市发展和改革委员会、龙南市林业局、龙南市水利局、龙南市农业农村局、龙南市生态环境局、龙南市城市管理局、龙南市住房和城乡建设局、龙南市交通运输局、龙南市财政局、龙南市统计局、龙南市文化广电新闻出版旅游局、龙南市气象局。</w:t>
      </w:r>
    </w:p>
    <w:p w14:paraId="0AE2C1B0">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p>
    <w:p w14:paraId="71098B1C">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643" w:firstLineChars="200"/>
        <w:textAlignment w:val="auto"/>
        <w:outlineLvl w:val="2"/>
        <w:rPr>
          <w:rFonts w:hint="eastAsia" w:ascii="Times New Roman" w:hAnsi="Times New Roman" w:eastAsia="仿宋_GB2312" w:cs="Times New Roman"/>
          <w:b/>
          <w:bCs/>
          <w:color w:val="auto"/>
          <w:kern w:val="2"/>
          <w:sz w:val="32"/>
          <w:szCs w:val="32"/>
          <w:highlight w:val="none"/>
          <w:lang w:val="en-US" w:eastAsia="zh-CN"/>
        </w:rPr>
      </w:pPr>
      <w:r>
        <w:rPr>
          <w:rFonts w:hint="eastAsia" w:ascii="Times New Roman" w:hAnsi="Times New Roman" w:eastAsia="仿宋_GB2312" w:cs="Times New Roman"/>
          <w:b/>
          <w:bCs/>
          <w:color w:val="auto"/>
          <w:kern w:val="2"/>
          <w:sz w:val="32"/>
          <w:szCs w:val="32"/>
          <w:highlight w:val="none"/>
          <w:lang w:val="en-US" w:eastAsia="zh-CN"/>
        </w:rPr>
        <w:t>2. 规划编制单位</w:t>
      </w:r>
    </w:p>
    <w:p w14:paraId="1EAD4B18">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江西赣南地质矿产集团有限公司（原江西赣南地质工程院）</w:t>
      </w:r>
    </w:p>
    <w:p w14:paraId="0E734890">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52" w:firstLineChars="147"/>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62"/>
          <w:sz w:val="32"/>
          <w:szCs w:val="28"/>
          <w:highlight w:val="none"/>
          <w:lang w:val="en-US" w:eastAsia="zh-CN"/>
        </w:rPr>
        <w:t>项目负责人</w:t>
      </w:r>
      <w:r>
        <w:rPr>
          <w:rFonts w:hint="eastAsia" w:ascii="Times New Roman" w:hAnsi="Times New Roman" w:eastAsia="仿宋" w:cs="Times New Roman"/>
          <w:color w:val="auto"/>
          <w:sz w:val="32"/>
          <w:szCs w:val="28"/>
          <w:highlight w:val="none"/>
          <w:lang w:val="en-US" w:eastAsia="zh-CN"/>
        </w:rPr>
        <w:t>：邹庆轩</w:t>
      </w:r>
    </w:p>
    <w:p w14:paraId="3ECB31C6">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项目技术负责人：刘国成</w:t>
      </w:r>
    </w:p>
    <w:p w14:paraId="23DC3779">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39" w:firstLineChars="17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28"/>
          <w:sz w:val="32"/>
          <w:szCs w:val="28"/>
          <w:highlight w:val="none"/>
          <w:lang w:val="en-US" w:eastAsia="zh-CN"/>
        </w:rPr>
        <w:t>规划编制人员</w:t>
      </w:r>
      <w:r>
        <w:rPr>
          <w:rFonts w:hint="eastAsia" w:ascii="Times New Roman" w:hAnsi="Times New Roman" w:eastAsia="仿宋" w:cs="Times New Roman"/>
          <w:color w:val="auto"/>
          <w:sz w:val="32"/>
          <w:szCs w:val="28"/>
          <w:highlight w:val="none"/>
          <w:lang w:val="en-US" w:eastAsia="zh-CN"/>
        </w:rPr>
        <w:t>：肖志坚  朱珊  罗紫育</w:t>
      </w:r>
    </w:p>
    <w:p w14:paraId="680C8C7C">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审    查    人：黄国平</w:t>
      </w:r>
    </w:p>
    <w:p w14:paraId="45CBC077">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p>
    <w:p w14:paraId="3F11F127">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39" w:firstLineChars="144"/>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62"/>
          <w:sz w:val="32"/>
          <w:szCs w:val="28"/>
          <w:highlight w:val="none"/>
          <w:lang w:val="en-US" w:eastAsia="zh-CN"/>
        </w:rPr>
        <w:t>单位负责人</w:t>
      </w:r>
      <w:r>
        <w:rPr>
          <w:rFonts w:hint="eastAsia" w:ascii="Times New Roman" w:hAnsi="Times New Roman" w:eastAsia="仿宋" w:cs="Times New Roman"/>
          <w:color w:val="auto"/>
          <w:sz w:val="32"/>
          <w:szCs w:val="28"/>
          <w:highlight w:val="none"/>
          <w:lang w:val="en-US" w:eastAsia="zh-CN"/>
        </w:rPr>
        <w:t>：李海潘</w:t>
      </w:r>
    </w:p>
    <w:p w14:paraId="626DFE13">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z w:val="32"/>
          <w:szCs w:val="28"/>
          <w:highlight w:val="none"/>
          <w:lang w:val="en-US" w:eastAsia="zh-CN"/>
        </w:rPr>
        <w:t>单位技术负责人：黄国平</w:t>
      </w:r>
    </w:p>
    <w:p w14:paraId="4A062F9A">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leftChars="0" w:right="0" w:firstLine="636" w:firstLineChars="114"/>
        <w:jc w:val="both"/>
        <w:textAlignment w:val="auto"/>
        <w:outlineLvl w:val="9"/>
        <w:rPr>
          <w:rFonts w:hint="eastAsia" w:ascii="Times New Roman" w:hAnsi="Times New Roman" w:eastAsia="仿宋" w:cs="Times New Roman"/>
          <w:color w:val="auto"/>
          <w:sz w:val="32"/>
          <w:szCs w:val="28"/>
          <w:highlight w:val="none"/>
          <w:lang w:val="en-US" w:eastAsia="zh-CN"/>
        </w:rPr>
      </w:pPr>
      <w:r>
        <w:rPr>
          <w:rFonts w:hint="eastAsia" w:ascii="Times New Roman" w:hAnsi="Times New Roman" w:eastAsia="仿宋" w:cs="Times New Roman"/>
          <w:color w:val="auto"/>
          <w:spacing w:val="119"/>
          <w:sz w:val="32"/>
          <w:szCs w:val="28"/>
          <w:highlight w:val="none"/>
          <w:lang w:val="en-US" w:eastAsia="zh-CN"/>
        </w:rPr>
        <w:t>法人代表</w:t>
      </w:r>
      <w:r>
        <w:rPr>
          <w:rFonts w:hint="eastAsia" w:ascii="Times New Roman" w:hAnsi="Times New Roman" w:eastAsia="仿宋" w:cs="Times New Roman"/>
          <w:color w:val="auto"/>
          <w:sz w:val="32"/>
          <w:szCs w:val="28"/>
          <w:highlight w:val="none"/>
          <w:lang w:val="en-US" w:eastAsia="zh-CN"/>
        </w:rPr>
        <w:t>：符勋</w:t>
      </w:r>
    </w:p>
    <w:p w14:paraId="5610A266">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pPr>
    </w:p>
    <w:p w14:paraId="5AD649A6">
      <w:pPr>
        <w:pStyle w:val="8"/>
        <w:keepNext w:val="0"/>
        <w:keepLines w:val="0"/>
        <w:pageBreakBefore w:val="0"/>
        <w:widowControl w:val="0"/>
        <w:shd w:val="clear"/>
        <w:kinsoku/>
        <w:wordWrap/>
        <w:overflowPunct/>
        <w:topLinePunct w:val="0"/>
        <w:autoSpaceDE/>
        <w:autoSpaceDN/>
        <w:bidi w:val="0"/>
        <w:adjustRightInd/>
        <w:snapToGrid/>
        <w:spacing w:after="0" w:line="312" w:lineRule="auto"/>
        <w:ind w:left="0" w:right="0" w:firstLine="640" w:firstLineChars="200"/>
        <w:jc w:val="both"/>
        <w:textAlignment w:val="auto"/>
        <w:outlineLvl w:val="9"/>
        <w:rPr>
          <w:rFonts w:hint="eastAsia" w:ascii="Times New Roman" w:hAnsi="Times New Roman" w:eastAsia="仿宋" w:cs="Times New Roman"/>
          <w:color w:val="auto"/>
          <w:sz w:val="32"/>
          <w:szCs w:val="28"/>
          <w:highlight w:val="none"/>
          <w:lang w:val="en-US" w:eastAsia="zh-CN"/>
        </w:rPr>
        <w:sectPr>
          <w:pgSz w:w="11906" w:h="16838"/>
          <w:pgMar w:top="1440" w:right="1803" w:bottom="1440" w:left="1803" w:header="851" w:footer="992" w:gutter="0"/>
          <w:cols w:space="0" w:num="1"/>
          <w:rtlGutter w:val="0"/>
          <w:docGrid w:linePitch="312" w:charSpace="0"/>
        </w:sectPr>
      </w:pPr>
    </w:p>
    <w:p w14:paraId="3AF370DC">
      <w:pPr>
        <w:keepNext w:val="0"/>
        <w:keepLines w:val="0"/>
        <w:pageBreakBefore w:val="0"/>
        <w:widowControl w:val="0"/>
        <w:shd w:val="clear"/>
        <w:kinsoku/>
        <w:wordWrap/>
        <w:overflowPunct/>
        <w:topLinePunct w:val="0"/>
        <w:autoSpaceDE/>
        <w:autoSpaceDN/>
        <w:bidi w:val="0"/>
        <w:adjustRightInd w:val="0"/>
        <w:snapToGrid w:val="0"/>
        <w:spacing w:line="312" w:lineRule="auto"/>
        <w:jc w:val="left"/>
        <w:textAlignment w:val="auto"/>
        <w:outlineLvl w:val="0"/>
        <w:rPr>
          <w:rFonts w:hint="eastAsia"/>
          <w:b/>
          <w:bCs/>
          <w:color w:val="auto"/>
          <w:sz w:val="36"/>
          <w:szCs w:val="36"/>
          <w:highlight w:val="none"/>
          <w:lang w:val="en-US" w:eastAsia="zh-CN"/>
        </w:rPr>
      </w:pPr>
      <w:bookmarkStart w:id="89" w:name="_Toc18147"/>
      <w:bookmarkStart w:id="90" w:name="_Toc17201"/>
      <w:bookmarkStart w:id="91" w:name="_Toc26375"/>
      <w:bookmarkStart w:id="92" w:name="_Toc29298"/>
      <w:bookmarkStart w:id="93" w:name="_Toc5894"/>
      <w:r>
        <w:rPr>
          <w:rFonts w:hint="eastAsia"/>
          <w:b/>
          <w:bCs/>
          <w:color w:val="auto"/>
          <w:sz w:val="36"/>
          <w:szCs w:val="36"/>
          <w:highlight w:val="none"/>
          <w:lang w:val="en-US" w:eastAsia="zh-CN"/>
        </w:rPr>
        <w:t>附表          龙南市“十四五”国土空间生态修复重大工程项目清单</w:t>
      </w:r>
      <w:bookmarkEnd w:id="89"/>
      <w:bookmarkEnd w:id="90"/>
      <w:bookmarkEnd w:id="91"/>
      <w:bookmarkEnd w:id="92"/>
      <w:bookmarkEnd w:id="93"/>
    </w:p>
    <w:tbl>
      <w:tblPr>
        <w:tblStyle w:val="15"/>
        <w:tblW w:w="14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51"/>
        <w:gridCol w:w="671"/>
        <w:gridCol w:w="3425"/>
        <w:gridCol w:w="877"/>
        <w:gridCol w:w="1629"/>
        <w:gridCol w:w="822"/>
        <w:gridCol w:w="5149"/>
        <w:gridCol w:w="936"/>
      </w:tblGrid>
      <w:tr w14:paraId="5A3CE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90" w:hRule="atLeast"/>
        </w:trPr>
        <w:tc>
          <w:tcPr>
            <w:tcW w:w="1051" w:type="dxa"/>
            <w:shd w:val="clear" w:color="auto" w:fill="auto"/>
            <w:vAlign w:val="center"/>
          </w:tcPr>
          <w:p w14:paraId="765E37B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重大工程</w:t>
            </w:r>
          </w:p>
        </w:tc>
        <w:tc>
          <w:tcPr>
            <w:tcW w:w="671" w:type="dxa"/>
            <w:shd w:val="clear" w:color="auto" w:fill="auto"/>
            <w:vAlign w:val="center"/>
          </w:tcPr>
          <w:p w14:paraId="5FDDF99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项目序号</w:t>
            </w:r>
          </w:p>
        </w:tc>
        <w:tc>
          <w:tcPr>
            <w:tcW w:w="3425" w:type="dxa"/>
            <w:shd w:val="clear" w:color="auto" w:fill="auto"/>
            <w:vAlign w:val="center"/>
          </w:tcPr>
          <w:p w14:paraId="1F69C4C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项目名称</w:t>
            </w:r>
          </w:p>
        </w:tc>
        <w:tc>
          <w:tcPr>
            <w:tcW w:w="877" w:type="dxa"/>
            <w:shd w:val="clear" w:color="auto" w:fill="auto"/>
            <w:vAlign w:val="center"/>
          </w:tcPr>
          <w:p w14:paraId="6B1563B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项目单位</w:t>
            </w:r>
          </w:p>
        </w:tc>
        <w:tc>
          <w:tcPr>
            <w:tcW w:w="1629" w:type="dxa"/>
            <w:shd w:val="clear" w:color="auto" w:fill="auto"/>
            <w:vAlign w:val="center"/>
          </w:tcPr>
          <w:p w14:paraId="60981BA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建设地点</w:t>
            </w:r>
          </w:p>
        </w:tc>
        <w:tc>
          <w:tcPr>
            <w:tcW w:w="822" w:type="dxa"/>
            <w:shd w:val="clear" w:color="auto" w:fill="auto"/>
            <w:vAlign w:val="center"/>
          </w:tcPr>
          <w:p w14:paraId="20B7E533">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完成时间</w:t>
            </w:r>
          </w:p>
        </w:tc>
        <w:tc>
          <w:tcPr>
            <w:tcW w:w="5149" w:type="dxa"/>
            <w:shd w:val="clear" w:color="auto" w:fill="auto"/>
            <w:vAlign w:val="center"/>
          </w:tcPr>
          <w:p w14:paraId="4ED72BF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主要建设内容及规模</w:t>
            </w:r>
          </w:p>
        </w:tc>
        <w:tc>
          <w:tcPr>
            <w:tcW w:w="936" w:type="dxa"/>
            <w:shd w:val="clear" w:color="auto" w:fill="auto"/>
            <w:vAlign w:val="center"/>
          </w:tcPr>
          <w:p w14:paraId="6905C23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总投资（亿元）</w:t>
            </w:r>
          </w:p>
        </w:tc>
      </w:tr>
      <w:tr w14:paraId="089DE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06" w:hRule="atLeast"/>
        </w:trPr>
        <w:tc>
          <w:tcPr>
            <w:tcW w:w="1722" w:type="dxa"/>
            <w:gridSpan w:val="2"/>
            <w:shd w:val="clear" w:color="auto" w:fill="auto"/>
            <w:vAlign w:val="center"/>
          </w:tcPr>
          <w:p w14:paraId="24E8F9D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合计</w:t>
            </w:r>
          </w:p>
        </w:tc>
        <w:tc>
          <w:tcPr>
            <w:tcW w:w="3425" w:type="dxa"/>
            <w:shd w:val="clear" w:color="auto" w:fill="auto"/>
            <w:vAlign w:val="center"/>
          </w:tcPr>
          <w:p w14:paraId="196C509A">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77" w:type="dxa"/>
            <w:shd w:val="clear" w:color="auto" w:fill="auto"/>
            <w:vAlign w:val="center"/>
          </w:tcPr>
          <w:p w14:paraId="09712006">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1629" w:type="dxa"/>
            <w:shd w:val="clear" w:color="auto" w:fill="auto"/>
            <w:vAlign w:val="center"/>
          </w:tcPr>
          <w:p w14:paraId="471067D3">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822" w:type="dxa"/>
            <w:shd w:val="clear" w:color="auto" w:fill="auto"/>
            <w:vAlign w:val="center"/>
          </w:tcPr>
          <w:p w14:paraId="259CD5DA">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5149" w:type="dxa"/>
            <w:shd w:val="clear" w:color="auto" w:fill="auto"/>
            <w:vAlign w:val="center"/>
          </w:tcPr>
          <w:p w14:paraId="27C4195A">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b/>
                <w:i w:val="0"/>
                <w:color w:val="auto"/>
                <w:sz w:val="21"/>
                <w:szCs w:val="21"/>
                <w:highlight w:val="none"/>
                <w:u w:val="none"/>
              </w:rPr>
            </w:pPr>
          </w:p>
        </w:tc>
        <w:tc>
          <w:tcPr>
            <w:tcW w:w="936" w:type="dxa"/>
            <w:shd w:val="clear" w:color="auto" w:fill="auto"/>
            <w:vAlign w:val="center"/>
          </w:tcPr>
          <w:p w14:paraId="6FA8F3C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20.508</w:t>
            </w:r>
          </w:p>
        </w:tc>
      </w:tr>
      <w:tr w14:paraId="318A0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291" w:hRule="atLeast"/>
        </w:trPr>
        <w:tc>
          <w:tcPr>
            <w:tcW w:w="1051" w:type="dxa"/>
            <w:vMerge w:val="restart"/>
            <w:shd w:val="clear" w:color="auto" w:fill="auto"/>
            <w:vAlign w:val="center"/>
          </w:tcPr>
          <w:p w14:paraId="17455F2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一、矿山生态环境综合治理工程</w:t>
            </w:r>
          </w:p>
        </w:tc>
        <w:tc>
          <w:tcPr>
            <w:tcW w:w="671" w:type="dxa"/>
            <w:shd w:val="clear" w:color="auto" w:fill="auto"/>
            <w:vAlign w:val="center"/>
          </w:tcPr>
          <w:p w14:paraId="49CBCD7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425" w:type="dxa"/>
            <w:shd w:val="clear" w:color="auto" w:fill="auto"/>
            <w:vAlign w:val="center"/>
          </w:tcPr>
          <w:p w14:paraId="62A0829F">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77" w:type="dxa"/>
            <w:shd w:val="clear" w:color="auto" w:fill="auto"/>
            <w:vAlign w:val="center"/>
          </w:tcPr>
          <w:p w14:paraId="57B99F89">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629" w:type="dxa"/>
            <w:shd w:val="clear" w:color="auto" w:fill="auto"/>
            <w:vAlign w:val="center"/>
          </w:tcPr>
          <w:p w14:paraId="32DE7244">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22" w:type="dxa"/>
            <w:shd w:val="clear" w:color="auto" w:fill="auto"/>
            <w:vAlign w:val="center"/>
          </w:tcPr>
          <w:p w14:paraId="63E4DFE3">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5149" w:type="dxa"/>
            <w:shd w:val="clear" w:color="auto" w:fill="auto"/>
            <w:vAlign w:val="center"/>
          </w:tcPr>
          <w:p w14:paraId="3572E5B3">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936" w:type="dxa"/>
            <w:shd w:val="clear" w:color="auto" w:fill="auto"/>
            <w:vAlign w:val="center"/>
          </w:tcPr>
          <w:p w14:paraId="4FCF9EB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2.05</w:t>
            </w:r>
          </w:p>
        </w:tc>
      </w:tr>
      <w:tr w14:paraId="261F2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900" w:hRule="atLeast"/>
        </w:trPr>
        <w:tc>
          <w:tcPr>
            <w:tcW w:w="1051" w:type="dxa"/>
            <w:vMerge w:val="continue"/>
            <w:shd w:val="clear" w:color="auto" w:fill="auto"/>
            <w:vAlign w:val="center"/>
          </w:tcPr>
          <w:p w14:paraId="2E6481DF">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14:paraId="534CBA9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w:t>
            </w:r>
          </w:p>
        </w:tc>
        <w:tc>
          <w:tcPr>
            <w:tcW w:w="3425" w:type="dxa"/>
            <w:shd w:val="clear" w:color="auto" w:fill="auto"/>
            <w:vAlign w:val="center"/>
          </w:tcPr>
          <w:p w14:paraId="3687EBB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龙南市废弃露天矿山环境治理项目</w:t>
            </w:r>
          </w:p>
        </w:tc>
        <w:tc>
          <w:tcPr>
            <w:tcW w:w="877" w:type="dxa"/>
            <w:shd w:val="clear" w:color="auto" w:fill="auto"/>
            <w:vAlign w:val="center"/>
          </w:tcPr>
          <w:p w14:paraId="1A1B44E3">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629" w:type="dxa"/>
            <w:shd w:val="clear" w:color="auto" w:fill="auto"/>
            <w:vAlign w:val="center"/>
          </w:tcPr>
          <w:p w14:paraId="08924D7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龙南镇、里仁镇、杨村镇、武当乡、南亨乡</w:t>
            </w:r>
          </w:p>
        </w:tc>
        <w:tc>
          <w:tcPr>
            <w:tcW w:w="822" w:type="dxa"/>
            <w:shd w:val="clear" w:color="auto" w:fill="auto"/>
            <w:vAlign w:val="center"/>
          </w:tcPr>
          <w:p w14:paraId="36504C0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14:paraId="56903442">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完成历史遗留矿山生态修复治理24处，治理面积66.44公顷。主要任务为：1）矿山地质灾害治理；2）矿区土地复垦；3）矿区植被恢复。</w:t>
            </w:r>
          </w:p>
        </w:tc>
        <w:tc>
          <w:tcPr>
            <w:tcW w:w="936" w:type="dxa"/>
            <w:shd w:val="clear" w:color="auto" w:fill="auto"/>
            <w:vAlign w:val="center"/>
          </w:tcPr>
          <w:p w14:paraId="39A05D9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 xml:space="preserve">0.37 </w:t>
            </w:r>
          </w:p>
        </w:tc>
      </w:tr>
      <w:tr w14:paraId="2BBF6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675" w:hRule="atLeast"/>
        </w:trPr>
        <w:tc>
          <w:tcPr>
            <w:tcW w:w="1051" w:type="dxa"/>
            <w:vMerge w:val="continue"/>
            <w:shd w:val="clear" w:color="auto" w:fill="auto"/>
            <w:vAlign w:val="center"/>
          </w:tcPr>
          <w:p w14:paraId="2EA892B2">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14:paraId="51F67F1D">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w:t>
            </w:r>
          </w:p>
        </w:tc>
        <w:tc>
          <w:tcPr>
            <w:tcW w:w="3425" w:type="dxa"/>
            <w:shd w:val="clear" w:color="auto" w:fill="auto"/>
            <w:vAlign w:val="center"/>
          </w:tcPr>
          <w:p w14:paraId="6EB3C67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龙南市采煤沉陷区综合治理项目</w:t>
            </w:r>
          </w:p>
        </w:tc>
        <w:tc>
          <w:tcPr>
            <w:tcW w:w="877" w:type="dxa"/>
            <w:shd w:val="clear" w:color="auto" w:fill="auto"/>
            <w:vAlign w:val="center"/>
          </w:tcPr>
          <w:p w14:paraId="2D98712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自然资源局</w:t>
            </w:r>
          </w:p>
        </w:tc>
        <w:tc>
          <w:tcPr>
            <w:tcW w:w="1629" w:type="dxa"/>
            <w:shd w:val="clear" w:color="auto" w:fill="auto"/>
            <w:vAlign w:val="center"/>
          </w:tcPr>
          <w:p w14:paraId="758CA21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龙南镇、东江乡、临塘乡、汶龙镇</w:t>
            </w:r>
          </w:p>
        </w:tc>
        <w:tc>
          <w:tcPr>
            <w:tcW w:w="822" w:type="dxa"/>
            <w:shd w:val="clear" w:color="auto" w:fill="auto"/>
            <w:vAlign w:val="center"/>
          </w:tcPr>
          <w:p w14:paraId="42A1479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14:paraId="6146F1C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完成龙南市采煤沉陷区生态修复和环境整治，治理面积约</w:t>
            </w:r>
            <w:r>
              <w:rPr>
                <w:rFonts w:hint="eastAsia" w:ascii="Times New Roman" w:hAnsi="Times New Roman" w:eastAsia="宋体" w:cs="Times New Roman"/>
                <w:i w:val="0"/>
                <w:color w:val="auto"/>
                <w:kern w:val="0"/>
                <w:sz w:val="21"/>
                <w:szCs w:val="21"/>
                <w:highlight w:val="none"/>
                <w:u w:val="none"/>
                <w:lang w:val="en-US" w:eastAsia="zh-CN" w:bidi="ar"/>
              </w:rPr>
              <w:t>2865</w:t>
            </w:r>
            <w:r>
              <w:rPr>
                <w:rFonts w:hint="default" w:ascii="Times New Roman" w:hAnsi="Times New Roman" w:eastAsia="宋体" w:cs="Times New Roman"/>
                <w:i w:val="0"/>
                <w:color w:val="auto"/>
                <w:kern w:val="0"/>
                <w:sz w:val="21"/>
                <w:szCs w:val="21"/>
                <w:highlight w:val="none"/>
                <w:u w:val="none"/>
                <w:lang w:val="en-US" w:eastAsia="zh-CN" w:bidi="ar"/>
              </w:rPr>
              <w:t>亩</w:t>
            </w:r>
            <w:r>
              <w:rPr>
                <w:rFonts w:hint="eastAsia" w:ascii="Times New Roman" w:hAnsi="Times New Roman" w:eastAsia="宋体" w:cs="Times New Roman"/>
                <w:i w:val="0"/>
                <w:color w:val="auto"/>
                <w:kern w:val="0"/>
                <w:sz w:val="21"/>
                <w:szCs w:val="21"/>
                <w:highlight w:val="none"/>
                <w:u w:val="none"/>
                <w:lang w:val="en-US" w:eastAsia="zh-CN" w:bidi="ar"/>
              </w:rPr>
              <w:t>，其中重点沉陷区治理面积约1500亩</w:t>
            </w:r>
            <w:r>
              <w:rPr>
                <w:rFonts w:hint="default" w:ascii="Times New Roman" w:hAnsi="Times New Roman" w:eastAsia="宋体" w:cs="Times New Roman"/>
                <w:i w:val="0"/>
                <w:color w:val="auto"/>
                <w:kern w:val="0"/>
                <w:sz w:val="21"/>
                <w:szCs w:val="21"/>
                <w:highlight w:val="none"/>
                <w:u w:val="none"/>
                <w:lang w:val="en-US" w:eastAsia="zh-CN" w:bidi="ar"/>
              </w:rPr>
              <w:t>。</w:t>
            </w:r>
          </w:p>
        </w:tc>
        <w:tc>
          <w:tcPr>
            <w:tcW w:w="936" w:type="dxa"/>
            <w:shd w:val="clear" w:color="auto" w:fill="auto"/>
            <w:vAlign w:val="center"/>
          </w:tcPr>
          <w:p w14:paraId="269A0EA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1.68</w:t>
            </w:r>
          </w:p>
        </w:tc>
      </w:tr>
      <w:tr w14:paraId="3C5BC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90" w:hRule="atLeast"/>
        </w:trPr>
        <w:tc>
          <w:tcPr>
            <w:tcW w:w="1051" w:type="dxa"/>
            <w:vMerge w:val="restart"/>
            <w:shd w:val="clear" w:color="auto" w:fill="auto"/>
            <w:vAlign w:val="center"/>
          </w:tcPr>
          <w:p w14:paraId="534D059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二、水土保持综合治理工程</w:t>
            </w:r>
          </w:p>
        </w:tc>
        <w:tc>
          <w:tcPr>
            <w:tcW w:w="671" w:type="dxa"/>
            <w:shd w:val="clear" w:color="auto" w:fill="auto"/>
            <w:vAlign w:val="center"/>
          </w:tcPr>
          <w:p w14:paraId="77C4662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425" w:type="dxa"/>
            <w:shd w:val="clear" w:color="auto" w:fill="auto"/>
            <w:vAlign w:val="center"/>
          </w:tcPr>
          <w:p w14:paraId="14E72450">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77" w:type="dxa"/>
            <w:shd w:val="clear" w:color="auto" w:fill="auto"/>
            <w:vAlign w:val="center"/>
          </w:tcPr>
          <w:p w14:paraId="1CAC6171">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629" w:type="dxa"/>
            <w:shd w:val="clear" w:color="auto" w:fill="auto"/>
            <w:vAlign w:val="center"/>
          </w:tcPr>
          <w:p w14:paraId="0D835D2F">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22" w:type="dxa"/>
            <w:shd w:val="clear" w:color="auto" w:fill="auto"/>
            <w:vAlign w:val="center"/>
          </w:tcPr>
          <w:p w14:paraId="594564B2">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5149" w:type="dxa"/>
            <w:shd w:val="clear" w:color="auto" w:fill="auto"/>
            <w:vAlign w:val="center"/>
          </w:tcPr>
          <w:p w14:paraId="3E35D0FA">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936" w:type="dxa"/>
            <w:shd w:val="clear" w:color="auto" w:fill="auto"/>
            <w:vAlign w:val="center"/>
          </w:tcPr>
          <w:p w14:paraId="09CAB25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9.44</w:t>
            </w:r>
          </w:p>
        </w:tc>
      </w:tr>
      <w:tr w14:paraId="08EC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51" w:type="dxa"/>
            <w:vMerge w:val="continue"/>
            <w:shd w:val="clear" w:color="auto" w:fill="auto"/>
            <w:vAlign w:val="center"/>
          </w:tcPr>
          <w:p w14:paraId="576B9F8B">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14:paraId="052B588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3</w:t>
            </w:r>
          </w:p>
        </w:tc>
        <w:tc>
          <w:tcPr>
            <w:tcW w:w="3425" w:type="dxa"/>
            <w:shd w:val="clear" w:color="auto" w:fill="auto"/>
            <w:vAlign w:val="center"/>
          </w:tcPr>
          <w:p w14:paraId="490CBF9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国家水土保持重点工程项目</w:t>
            </w:r>
          </w:p>
        </w:tc>
        <w:tc>
          <w:tcPr>
            <w:tcW w:w="877" w:type="dxa"/>
            <w:shd w:val="clear" w:color="auto" w:fill="auto"/>
            <w:vAlign w:val="center"/>
          </w:tcPr>
          <w:p w14:paraId="5CEF0369">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水利局</w:t>
            </w:r>
          </w:p>
        </w:tc>
        <w:tc>
          <w:tcPr>
            <w:tcW w:w="1629" w:type="dxa"/>
            <w:shd w:val="clear" w:color="auto" w:fill="auto"/>
            <w:vAlign w:val="center"/>
          </w:tcPr>
          <w:p w14:paraId="6D0E1E5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822" w:type="dxa"/>
            <w:shd w:val="clear" w:color="auto" w:fill="auto"/>
            <w:vAlign w:val="center"/>
          </w:tcPr>
          <w:p w14:paraId="7669F93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14:paraId="5ACE53E0">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治理杨村崩岗3160座、崩岗侵蚀面积842.4公顷，完成市域内水土流失治理面积70平方千米，水土保持率提高到8</w:t>
            </w:r>
            <w:r>
              <w:rPr>
                <w:rFonts w:hint="eastAsia" w:ascii="Times New Roman" w:hAnsi="Times New Roman" w:cs="Times New Roman"/>
                <w:i w:val="0"/>
                <w:color w:val="auto"/>
                <w:kern w:val="0"/>
                <w:sz w:val="21"/>
                <w:szCs w:val="21"/>
                <w:highlight w:val="none"/>
                <w:u w:val="none"/>
                <w:lang w:val="en-US" w:eastAsia="zh-CN" w:bidi="ar"/>
              </w:rPr>
              <w:t>4.12</w:t>
            </w:r>
            <w:r>
              <w:rPr>
                <w:rFonts w:hint="default" w:ascii="Times New Roman" w:hAnsi="Times New Roman" w:eastAsia="宋体" w:cs="Times New Roman"/>
                <w:i w:val="0"/>
                <w:color w:val="auto"/>
                <w:kern w:val="0"/>
                <w:sz w:val="21"/>
                <w:szCs w:val="21"/>
                <w:highlight w:val="none"/>
                <w:u w:val="none"/>
                <w:lang w:val="en-US" w:eastAsia="zh-CN" w:bidi="ar"/>
              </w:rPr>
              <w:t>%以上。</w:t>
            </w:r>
          </w:p>
        </w:tc>
        <w:tc>
          <w:tcPr>
            <w:tcW w:w="936" w:type="dxa"/>
            <w:shd w:val="clear" w:color="auto" w:fill="auto"/>
            <w:vAlign w:val="center"/>
          </w:tcPr>
          <w:p w14:paraId="4FD220D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9.44</w:t>
            </w:r>
          </w:p>
        </w:tc>
      </w:tr>
      <w:tr w14:paraId="26A8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1" w:hRule="atLeast"/>
        </w:trPr>
        <w:tc>
          <w:tcPr>
            <w:tcW w:w="1051" w:type="dxa"/>
            <w:vMerge w:val="restart"/>
            <w:shd w:val="clear" w:color="auto" w:fill="auto"/>
            <w:vAlign w:val="center"/>
          </w:tcPr>
          <w:p w14:paraId="4F0987D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三、森林质量提升及生物多样性保护生态廊道建设工程</w:t>
            </w:r>
          </w:p>
        </w:tc>
        <w:tc>
          <w:tcPr>
            <w:tcW w:w="671" w:type="dxa"/>
            <w:shd w:val="clear" w:color="auto" w:fill="auto"/>
            <w:vAlign w:val="center"/>
          </w:tcPr>
          <w:p w14:paraId="646D8FF8">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小计</w:t>
            </w:r>
          </w:p>
        </w:tc>
        <w:tc>
          <w:tcPr>
            <w:tcW w:w="3425" w:type="dxa"/>
            <w:shd w:val="clear" w:color="auto" w:fill="auto"/>
            <w:vAlign w:val="center"/>
          </w:tcPr>
          <w:p w14:paraId="3E30C934">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877" w:type="dxa"/>
            <w:shd w:val="clear" w:color="auto" w:fill="auto"/>
            <w:vAlign w:val="center"/>
          </w:tcPr>
          <w:p w14:paraId="428E6789">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1629" w:type="dxa"/>
            <w:shd w:val="clear" w:color="auto" w:fill="auto"/>
            <w:vAlign w:val="center"/>
          </w:tcPr>
          <w:p w14:paraId="6B28289D">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822" w:type="dxa"/>
            <w:shd w:val="clear" w:color="auto" w:fill="auto"/>
            <w:vAlign w:val="center"/>
          </w:tcPr>
          <w:p w14:paraId="1E039118">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5149" w:type="dxa"/>
            <w:shd w:val="clear" w:color="auto" w:fill="auto"/>
            <w:vAlign w:val="center"/>
          </w:tcPr>
          <w:p w14:paraId="5ACE1118">
            <w:pPr>
              <w:keepNext w:val="0"/>
              <w:keepLines w:val="0"/>
              <w:pageBreakBefore w:val="0"/>
              <w:widowControl w:val="0"/>
              <w:kinsoku/>
              <w:wordWrap/>
              <w:topLinePunct w:val="0"/>
              <w:autoSpaceDE/>
              <w:autoSpaceDN/>
              <w:bidi w:val="0"/>
              <w:adjustRightInd w:val="0"/>
              <w:snapToGrid w:val="0"/>
              <w:spacing w:line="240" w:lineRule="atLeast"/>
              <w:ind w:firstLine="0" w:firstLineChars="0"/>
              <w:jc w:val="left"/>
              <w:rPr>
                <w:rFonts w:hint="default" w:ascii="Times New Roman" w:hAnsi="Times New Roman" w:eastAsia="宋体" w:cs="Times New Roman"/>
                <w:i w:val="0"/>
                <w:color w:val="auto"/>
                <w:sz w:val="21"/>
                <w:szCs w:val="21"/>
                <w:highlight w:val="none"/>
                <w:u w:val="none"/>
              </w:rPr>
            </w:pPr>
          </w:p>
        </w:tc>
        <w:tc>
          <w:tcPr>
            <w:tcW w:w="936" w:type="dxa"/>
            <w:shd w:val="clear" w:color="auto" w:fill="auto"/>
            <w:vAlign w:val="center"/>
          </w:tcPr>
          <w:p w14:paraId="47CD183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b/>
                <w:i w:val="0"/>
                <w:color w:val="auto"/>
                <w:sz w:val="21"/>
                <w:szCs w:val="21"/>
                <w:highlight w:val="none"/>
                <w:u w:val="none"/>
              </w:rPr>
            </w:pPr>
            <w:r>
              <w:rPr>
                <w:rFonts w:hint="default" w:ascii="Times New Roman" w:hAnsi="Times New Roman" w:eastAsia="宋体" w:cs="Times New Roman"/>
                <w:b/>
                <w:i w:val="0"/>
                <w:color w:val="auto"/>
                <w:kern w:val="0"/>
                <w:sz w:val="21"/>
                <w:szCs w:val="21"/>
                <w:highlight w:val="none"/>
                <w:u w:val="none"/>
                <w:lang w:val="en-US" w:eastAsia="zh-CN" w:bidi="ar"/>
              </w:rPr>
              <w:t>9.018</w:t>
            </w:r>
          </w:p>
        </w:tc>
      </w:tr>
      <w:tr w14:paraId="07E3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480" w:hRule="atLeast"/>
        </w:trPr>
        <w:tc>
          <w:tcPr>
            <w:tcW w:w="1051" w:type="dxa"/>
            <w:vMerge w:val="continue"/>
            <w:shd w:val="clear" w:color="auto" w:fill="auto"/>
            <w:vAlign w:val="center"/>
          </w:tcPr>
          <w:p w14:paraId="1A2BF229">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14:paraId="64A01A90">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4</w:t>
            </w:r>
          </w:p>
        </w:tc>
        <w:tc>
          <w:tcPr>
            <w:tcW w:w="3425" w:type="dxa"/>
            <w:shd w:val="clear" w:color="auto" w:fill="auto"/>
            <w:vAlign w:val="center"/>
          </w:tcPr>
          <w:p w14:paraId="6AB828C2">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低质低效林改造项目</w:t>
            </w:r>
          </w:p>
        </w:tc>
        <w:tc>
          <w:tcPr>
            <w:tcW w:w="877" w:type="dxa"/>
            <w:shd w:val="clear" w:color="auto" w:fill="auto"/>
            <w:vAlign w:val="center"/>
          </w:tcPr>
          <w:p w14:paraId="294AFA9D">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629" w:type="dxa"/>
            <w:shd w:val="clear" w:color="auto" w:fill="auto"/>
            <w:vAlign w:val="center"/>
          </w:tcPr>
          <w:p w14:paraId="4F3D71C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龙南市全域</w:t>
            </w:r>
          </w:p>
        </w:tc>
        <w:tc>
          <w:tcPr>
            <w:tcW w:w="822" w:type="dxa"/>
            <w:shd w:val="clear" w:color="auto" w:fill="auto"/>
            <w:vAlign w:val="center"/>
          </w:tcPr>
          <w:p w14:paraId="678AF6A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14:paraId="6845BB6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改造低质低效林14万亩，其中：更替改造1.0万亩；补植改造1.5万亩；抚育改造5.45万亩；封育改造6.05万亩。</w:t>
            </w:r>
          </w:p>
        </w:tc>
        <w:tc>
          <w:tcPr>
            <w:tcW w:w="936" w:type="dxa"/>
            <w:shd w:val="clear" w:color="auto" w:fill="auto"/>
            <w:vAlign w:val="center"/>
          </w:tcPr>
          <w:p w14:paraId="62B14CA1">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1.266</w:t>
            </w:r>
          </w:p>
        </w:tc>
      </w:tr>
      <w:tr w14:paraId="00E0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595" w:hRule="atLeast"/>
        </w:trPr>
        <w:tc>
          <w:tcPr>
            <w:tcW w:w="1051" w:type="dxa"/>
            <w:vMerge w:val="continue"/>
            <w:shd w:val="clear" w:color="auto" w:fill="auto"/>
            <w:vAlign w:val="center"/>
          </w:tcPr>
          <w:p w14:paraId="6FDC992D">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14:paraId="59BECB5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5</w:t>
            </w:r>
          </w:p>
        </w:tc>
        <w:tc>
          <w:tcPr>
            <w:tcW w:w="3425" w:type="dxa"/>
            <w:shd w:val="clear" w:color="auto" w:fill="auto"/>
            <w:vAlign w:val="center"/>
          </w:tcPr>
          <w:p w14:paraId="5AF6AA75">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赣南区域国土绿化试点示范项目</w:t>
            </w:r>
          </w:p>
        </w:tc>
        <w:tc>
          <w:tcPr>
            <w:tcW w:w="877" w:type="dxa"/>
            <w:shd w:val="clear" w:color="auto" w:fill="auto"/>
            <w:vAlign w:val="center"/>
          </w:tcPr>
          <w:p w14:paraId="631A49AF">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629" w:type="dxa"/>
            <w:shd w:val="clear" w:color="auto" w:fill="auto"/>
            <w:vAlign w:val="center"/>
          </w:tcPr>
          <w:p w14:paraId="380B6E8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临塘乡、里仁镇、安基山林场</w:t>
            </w:r>
          </w:p>
        </w:tc>
        <w:tc>
          <w:tcPr>
            <w:tcW w:w="822" w:type="dxa"/>
            <w:shd w:val="clear" w:color="auto" w:fill="auto"/>
            <w:vAlign w:val="center"/>
          </w:tcPr>
          <w:p w14:paraId="531A4A5B">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14:paraId="571E8A0D">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完成营造林建设任务0.75万亩。</w:t>
            </w:r>
          </w:p>
        </w:tc>
        <w:tc>
          <w:tcPr>
            <w:tcW w:w="936" w:type="dxa"/>
            <w:shd w:val="clear" w:color="auto" w:fill="auto"/>
            <w:vAlign w:val="center"/>
          </w:tcPr>
          <w:p w14:paraId="2C7E7080">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0.175</w:t>
            </w:r>
          </w:p>
        </w:tc>
      </w:tr>
      <w:tr w14:paraId="020B4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5" w:hRule="atLeast"/>
        </w:trPr>
        <w:tc>
          <w:tcPr>
            <w:tcW w:w="1051" w:type="dxa"/>
            <w:vMerge w:val="continue"/>
            <w:shd w:val="clear" w:color="auto" w:fill="auto"/>
            <w:vAlign w:val="center"/>
          </w:tcPr>
          <w:p w14:paraId="14B853FE">
            <w:pPr>
              <w:keepNext w:val="0"/>
              <w:keepLines w:val="0"/>
              <w:pageBreakBefore w:val="0"/>
              <w:widowControl w:val="0"/>
              <w:kinsoku/>
              <w:wordWrap/>
              <w:topLinePunct w:val="0"/>
              <w:autoSpaceDE/>
              <w:autoSpaceDN/>
              <w:bidi w:val="0"/>
              <w:adjustRightInd w:val="0"/>
              <w:snapToGrid w:val="0"/>
              <w:spacing w:line="240" w:lineRule="atLeast"/>
              <w:ind w:firstLine="0" w:firstLineChars="0"/>
              <w:jc w:val="center"/>
              <w:rPr>
                <w:rFonts w:hint="default" w:ascii="Times New Roman" w:hAnsi="Times New Roman" w:eastAsia="宋体" w:cs="Times New Roman"/>
                <w:i w:val="0"/>
                <w:color w:val="auto"/>
                <w:sz w:val="21"/>
                <w:szCs w:val="21"/>
                <w:highlight w:val="none"/>
                <w:u w:val="none"/>
              </w:rPr>
            </w:pPr>
          </w:p>
        </w:tc>
        <w:tc>
          <w:tcPr>
            <w:tcW w:w="671" w:type="dxa"/>
            <w:shd w:val="clear" w:color="auto" w:fill="auto"/>
            <w:vAlign w:val="center"/>
          </w:tcPr>
          <w:p w14:paraId="79307E13">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6</w:t>
            </w:r>
          </w:p>
        </w:tc>
        <w:tc>
          <w:tcPr>
            <w:tcW w:w="3425" w:type="dxa"/>
            <w:shd w:val="clear" w:color="auto" w:fill="auto"/>
            <w:vAlign w:val="center"/>
          </w:tcPr>
          <w:p w14:paraId="6ACBB66E">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南岭-九连山山脉森林质量提升及生物多样性保护生态廊道建设项目</w:t>
            </w:r>
          </w:p>
        </w:tc>
        <w:tc>
          <w:tcPr>
            <w:tcW w:w="877" w:type="dxa"/>
            <w:shd w:val="clear" w:color="auto" w:fill="auto"/>
            <w:vAlign w:val="center"/>
          </w:tcPr>
          <w:p w14:paraId="7190D0D6">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林业局</w:t>
            </w:r>
          </w:p>
        </w:tc>
        <w:tc>
          <w:tcPr>
            <w:tcW w:w="1629" w:type="dxa"/>
            <w:shd w:val="clear" w:color="auto" w:fill="auto"/>
            <w:vAlign w:val="center"/>
          </w:tcPr>
          <w:p w14:paraId="39AFFEA7">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南部地区</w:t>
            </w:r>
          </w:p>
        </w:tc>
        <w:tc>
          <w:tcPr>
            <w:tcW w:w="822" w:type="dxa"/>
            <w:shd w:val="clear" w:color="auto" w:fill="auto"/>
            <w:vAlign w:val="center"/>
          </w:tcPr>
          <w:p w14:paraId="2725578C">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2025</w:t>
            </w:r>
          </w:p>
        </w:tc>
        <w:tc>
          <w:tcPr>
            <w:tcW w:w="5149" w:type="dxa"/>
            <w:shd w:val="clear" w:color="auto" w:fill="auto"/>
            <w:vAlign w:val="center"/>
          </w:tcPr>
          <w:p w14:paraId="43DB3BD4">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left"/>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廊道连通南岭九连山山脉，涉及龙南市南部地区，连通国家级自然保护区1个、国家级森林公园5个、省级森林公园4个、省级湿地公园1个。规划新增封山育林面积6.05万亩；退化林修复6.95万亩；造林1万亩。</w:t>
            </w:r>
          </w:p>
        </w:tc>
        <w:tc>
          <w:tcPr>
            <w:tcW w:w="936" w:type="dxa"/>
            <w:shd w:val="clear" w:color="auto" w:fill="auto"/>
            <w:vAlign w:val="center"/>
          </w:tcPr>
          <w:p w14:paraId="1D0B567A">
            <w:pPr>
              <w:keepNext w:val="0"/>
              <w:keepLines w:val="0"/>
              <w:pageBreakBefore w:val="0"/>
              <w:widowControl w:val="0"/>
              <w:suppressLineNumbers w:val="0"/>
              <w:kinsoku/>
              <w:wordWrap/>
              <w:topLinePunct w:val="0"/>
              <w:autoSpaceDE/>
              <w:autoSpaceDN/>
              <w:bidi w:val="0"/>
              <w:adjustRightInd w:val="0"/>
              <w:snapToGrid w:val="0"/>
              <w:spacing w:line="240" w:lineRule="atLeast"/>
              <w:ind w:firstLine="0" w:firstLineChars="0"/>
              <w:jc w:val="center"/>
              <w:textAlignment w:val="center"/>
              <w:rPr>
                <w:rFonts w:hint="default" w:ascii="Times New Roman" w:hAnsi="Times New Roman" w:eastAsia="宋体" w:cs="Times New Roman"/>
                <w:i w:val="0"/>
                <w:color w:val="auto"/>
                <w:sz w:val="21"/>
                <w:szCs w:val="21"/>
                <w:highlight w:val="none"/>
                <w:u w:val="none"/>
              </w:rPr>
            </w:pPr>
            <w:r>
              <w:rPr>
                <w:rFonts w:hint="default" w:ascii="Times New Roman" w:hAnsi="Times New Roman" w:eastAsia="宋体" w:cs="Times New Roman"/>
                <w:i w:val="0"/>
                <w:color w:val="auto"/>
                <w:kern w:val="0"/>
                <w:sz w:val="21"/>
                <w:szCs w:val="21"/>
                <w:highlight w:val="none"/>
                <w:u w:val="none"/>
                <w:lang w:val="en-US" w:eastAsia="zh-CN" w:bidi="ar"/>
              </w:rPr>
              <w:t>7.577</w:t>
            </w:r>
          </w:p>
        </w:tc>
      </w:tr>
    </w:tbl>
    <w:p w14:paraId="45CF8D22">
      <w:pPr>
        <w:pStyle w:val="8"/>
        <w:keepNext w:val="0"/>
        <w:keepLines w:val="0"/>
        <w:pageBreakBefore w:val="0"/>
        <w:widowControl w:val="0"/>
        <w:shd w:val="clear"/>
        <w:kinsoku/>
        <w:wordWrap/>
        <w:overflowPunct/>
        <w:topLinePunct w:val="0"/>
        <w:autoSpaceDE/>
        <w:autoSpaceDN/>
        <w:bidi w:val="0"/>
        <w:adjustRightInd w:val="0"/>
        <w:snapToGrid w:val="0"/>
        <w:spacing w:after="0" w:line="120" w:lineRule="exact"/>
        <w:ind w:left="0" w:right="0" w:firstLine="0" w:firstLineChars="0"/>
        <w:jc w:val="both"/>
        <w:textAlignment w:val="auto"/>
        <w:outlineLvl w:val="9"/>
        <w:rPr>
          <w:rFonts w:hint="eastAsia" w:ascii="Times New Roman" w:hAnsi="Times New Roman" w:eastAsia="仿宋" w:cs="Times New Roman"/>
          <w:color w:val="auto"/>
          <w:kern w:val="10"/>
          <w:sz w:val="32"/>
          <w:szCs w:val="32"/>
          <w:highlight w:val="none"/>
          <w:lang w:val="en-US" w:eastAsia="zh-CN"/>
        </w:rPr>
      </w:pPr>
    </w:p>
    <w:p w14:paraId="6426AF41">
      <w:pPr>
        <w:pStyle w:val="8"/>
        <w:keepNext w:val="0"/>
        <w:keepLines w:val="0"/>
        <w:pageBreakBefore w:val="0"/>
        <w:widowControl w:val="0"/>
        <w:shd w:val="clear"/>
        <w:kinsoku/>
        <w:wordWrap/>
        <w:overflowPunct/>
        <w:topLinePunct w:val="0"/>
        <w:autoSpaceDE/>
        <w:autoSpaceDN/>
        <w:bidi w:val="0"/>
        <w:adjustRightInd w:val="0"/>
        <w:snapToGrid w:val="0"/>
        <w:spacing w:after="0" w:line="120" w:lineRule="exact"/>
        <w:ind w:left="0" w:right="0" w:firstLine="0" w:firstLineChars="0"/>
        <w:jc w:val="both"/>
        <w:textAlignment w:val="auto"/>
        <w:outlineLvl w:val="9"/>
        <w:rPr>
          <w:rFonts w:hint="eastAsia" w:ascii="Times New Roman" w:hAnsi="Times New Roman" w:eastAsia="仿宋" w:cs="Times New Roman"/>
          <w:color w:val="auto"/>
          <w:kern w:val="10"/>
          <w:sz w:val="32"/>
          <w:szCs w:val="32"/>
          <w:highlight w:val="none"/>
          <w:lang w:val="en-US" w:eastAsia="zh-CN"/>
        </w:rPr>
        <w:sectPr>
          <w:pgSz w:w="16838" w:h="11906" w:orient="landscape"/>
          <w:pgMar w:top="1803" w:right="1134" w:bottom="1803" w:left="1134" w:header="851" w:footer="992" w:gutter="0"/>
          <w:cols w:space="0" w:num="1"/>
          <w:rtlGutter w:val="0"/>
          <w:docGrid w:linePitch="312" w:charSpace="0"/>
        </w:sectPr>
      </w:pPr>
    </w:p>
    <w:p w14:paraId="7D04BA9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outlineLvl w:val="0"/>
        <w:rPr>
          <w:rFonts w:hint="eastAsia"/>
          <w:b/>
          <w:bCs/>
          <w:color w:val="auto"/>
          <w:sz w:val="36"/>
          <w:szCs w:val="36"/>
          <w:highlight w:val="none"/>
          <w:lang w:val="en-US" w:eastAsia="zh-CN"/>
        </w:rPr>
      </w:pPr>
      <w:bookmarkStart w:id="94" w:name="_Toc25280"/>
      <w:r>
        <w:rPr>
          <w:rFonts w:hint="eastAsia"/>
          <w:b/>
          <w:bCs/>
          <w:color w:val="auto"/>
          <w:sz w:val="36"/>
          <w:szCs w:val="36"/>
          <w:highlight w:val="none"/>
          <w:lang w:val="en-US" w:eastAsia="zh-CN"/>
        </w:rPr>
        <w:t>附图</w:t>
      </w:r>
      <w:bookmarkEnd w:id="94"/>
    </w:p>
    <w:p w14:paraId="5EBCF243">
      <w:pPr>
        <w:pStyle w:val="6"/>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bookmarkStart w:id="95" w:name="_Toc24627"/>
      <w:bookmarkStart w:id="96" w:name="_Toc23677"/>
      <w:bookmarkStart w:id="97" w:name="_Toc8413"/>
      <w:r>
        <w:rPr>
          <w:rFonts w:hint="eastAsia" w:ascii="仿宋" w:hAnsi="仿宋" w:eastAsia="仿宋" w:cs="仿宋"/>
          <w:color w:val="auto"/>
          <w:sz w:val="32"/>
          <w:szCs w:val="32"/>
          <w:highlight w:val="none"/>
          <w:lang w:bidi="ar"/>
        </w:rPr>
        <w:t>附图1</w:t>
      </w:r>
      <w:r>
        <w:rPr>
          <w:rFonts w:hint="eastAsia" w:ascii="仿宋" w:hAnsi="仿宋" w:eastAsia="仿宋" w:cs="仿宋"/>
          <w:color w:val="auto"/>
          <w:sz w:val="32"/>
          <w:szCs w:val="32"/>
          <w:highlight w:val="none"/>
          <w:lang w:val="en-US" w:eastAsia="zh-CN" w:bidi="ar"/>
        </w:rPr>
        <w:t xml:space="preserve">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地理位置</w:t>
      </w:r>
      <w:r>
        <w:rPr>
          <w:rFonts w:hint="eastAsia" w:ascii="仿宋" w:hAnsi="仿宋" w:eastAsia="仿宋" w:cs="仿宋"/>
          <w:color w:val="auto"/>
          <w:sz w:val="32"/>
          <w:szCs w:val="32"/>
          <w:highlight w:val="none"/>
          <w:lang w:bidi="ar"/>
        </w:rPr>
        <w:t>图</w:t>
      </w:r>
      <w:bookmarkEnd w:id="95"/>
      <w:bookmarkEnd w:id="96"/>
      <w:bookmarkEnd w:id="97"/>
    </w:p>
    <w:p w14:paraId="0C9B89A3">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1840"/>
            <wp:effectExtent l="0" t="0" r="6985" b="10160"/>
            <wp:docPr id="3" name="图片 3" descr="龙南市地理位置图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龙南市地理位置图OK"/>
                    <pic:cNvPicPr>
                      <a:picLocks noChangeAspect="1"/>
                    </pic:cNvPicPr>
                  </pic:nvPicPr>
                  <pic:blipFill>
                    <a:blip r:embed="rId16"/>
                    <a:stretch>
                      <a:fillRect/>
                    </a:stretch>
                  </pic:blipFill>
                  <pic:spPr>
                    <a:xfrm>
                      <a:off x="0" y="0"/>
                      <a:ext cx="5669915" cy="4561840"/>
                    </a:xfrm>
                    <a:prstGeom prst="rect">
                      <a:avLst/>
                    </a:prstGeom>
                  </pic:spPr>
                </pic:pic>
              </a:graphicData>
            </a:graphic>
          </wp:inline>
        </w:drawing>
      </w:r>
    </w:p>
    <w:p w14:paraId="7292AFE1">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3EBBC472">
      <w:pPr>
        <w:pStyle w:val="6"/>
        <w:keepNext/>
        <w:keepLines/>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98" w:name="_Toc29565"/>
      <w:bookmarkStart w:id="99" w:name="_Toc28425"/>
      <w:bookmarkStart w:id="100" w:name="_Toc13980"/>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2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自然地理格局</w:t>
      </w:r>
      <w:r>
        <w:rPr>
          <w:rFonts w:hint="eastAsia" w:ascii="仿宋" w:hAnsi="仿宋" w:eastAsia="仿宋" w:cs="仿宋"/>
          <w:color w:val="auto"/>
          <w:sz w:val="32"/>
          <w:szCs w:val="32"/>
          <w:highlight w:val="none"/>
          <w:lang w:bidi="ar"/>
        </w:rPr>
        <w:t>图</w:t>
      </w:r>
      <w:bookmarkEnd w:id="98"/>
      <w:bookmarkEnd w:id="99"/>
      <w:bookmarkEnd w:id="100"/>
    </w:p>
    <w:p w14:paraId="35DF8B16">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07230"/>
            <wp:effectExtent l="0" t="0" r="6985" b="7620"/>
            <wp:docPr id="4" name="图片 4" descr="龙南市自然地理格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龙南市自然地理格局图"/>
                    <pic:cNvPicPr>
                      <a:picLocks noChangeAspect="1"/>
                    </pic:cNvPicPr>
                  </pic:nvPicPr>
                  <pic:blipFill>
                    <a:blip r:embed="rId17"/>
                    <a:srcRect l="1629" t="2303" r="13753" b="2559"/>
                    <a:stretch>
                      <a:fillRect/>
                    </a:stretch>
                  </pic:blipFill>
                  <pic:spPr>
                    <a:xfrm>
                      <a:off x="0" y="0"/>
                      <a:ext cx="5669915" cy="4507230"/>
                    </a:xfrm>
                    <a:prstGeom prst="rect">
                      <a:avLst/>
                    </a:prstGeom>
                  </pic:spPr>
                </pic:pic>
              </a:graphicData>
            </a:graphic>
          </wp:inline>
        </w:drawing>
      </w:r>
    </w:p>
    <w:p w14:paraId="5911E090">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54742018">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1" w:name="_Toc4335"/>
      <w:bookmarkStart w:id="102" w:name="_Toc6475"/>
      <w:bookmarkStart w:id="103" w:name="_Toc32285"/>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3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小流域分布</w:t>
      </w:r>
      <w:r>
        <w:rPr>
          <w:rFonts w:hint="eastAsia" w:ascii="仿宋" w:hAnsi="仿宋" w:eastAsia="仿宋" w:cs="仿宋"/>
          <w:color w:val="auto"/>
          <w:sz w:val="32"/>
          <w:szCs w:val="32"/>
          <w:highlight w:val="none"/>
          <w:lang w:bidi="ar"/>
        </w:rPr>
        <w:t>图</w:t>
      </w:r>
      <w:bookmarkEnd w:id="101"/>
      <w:bookmarkEnd w:id="102"/>
      <w:bookmarkEnd w:id="103"/>
    </w:p>
    <w:p w14:paraId="11ADCCF9">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7390"/>
            <wp:effectExtent l="0" t="0" r="6985" b="16510"/>
            <wp:docPr id="5" name="图片 5" descr="龙南市小流域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龙南市小流域分布图"/>
                    <pic:cNvPicPr>
                      <a:picLocks noChangeAspect="1"/>
                    </pic:cNvPicPr>
                  </pic:nvPicPr>
                  <pic:blipFill>
                    <a:blip r:embed="rId18"/>
                    <a:srcRect l="1629" t="2303" r="13934" b="2559"/>
                    <a:stretch>
                      <a:fillRect/>
                    </a:stretch>
                  </pic:blipFill>
                  <pic:spPr>
                    <a:xfrm>
                      <a:off x="0" y="0"/>
                      <a:ext cx="5669915" cy="4517390"/>
                    </a:xfrm>
                    <a:prstGeom prst="rect">
                      <a:avLst/>
                    </a:prstGeom>
                  </pic:spPr>
                </pic:pic>
              </a:graphicData>
            </a:graphic>
          </wp:inline>
        </w:drawing>
      </w:r>
    </w:p>
    <w:p w14:paraId="0E6C7D6B">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56CC3E17">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4" w:name="_Toc2287"/>
      <w:bookmarkStart w:id="105" w:name="_Toc23564"/>
      <w:bookmarkStart w:id="106" w:name="_Toc24181"/>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4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交通干线网络</w:t>
      </w:r>
      <w:r>
        <w:rPr>
          <w:rFonts w:hint="eastAsia" w:ascii="仿宋" w:hAnsi="仿宋" w:eastAsia="仿宋" w:cs="仿宋"/>
          <w:color w:val="auto"/>
          <w:sz w:val="32"/>
          <w:szCs w:val="32"/>
          <w:highlight w:val="none"/>
          <w:lang w:bidi="ar"/>
        </w:rPr>
        <w:t>图</w:t>
      </w:r>
      <w:bookmarkEnd w:id="104"/>
      <w:bookmarkEnd w:id="105"/>
      <w:bookmarkEnd w:id="106"/>
    </w:p>
    <w:p w14:paraId="2EFF1542">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15" name="图片 15" descr="龙南市交通干道网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龙南市交通干道网络图"/>
                    <pic:cNvPicPr>
                      <a:picLocks noChangeAspect="1"/>
                    </pic:cNvPicPr>
                  </pic:nvPicPr>
                  <pic:blipFill>
                    <a:blip r:embed="rId19"/>
                    <a:srcRect l="1629" t="2303" r="13934" b="2303"/>
                    <a:stretch>
                      <a:fillRect/>
                    </a:stretch>
                  </pic:blipFill>
                  <pic:spPr>
                    <a:xfrm>
                      <a:off x="0" y="0"/>
                      <a:ext cx="5669915" cy="4529455"/>
                    </a:xfrm>
                    <a:prstGeom prst="rect">
                      <a:avLst/>
                    </a:prstGeom>
                  </pic:spPr>
                </pic:pic>
              </a:graphicData>
            </a:graphic>
          </wp:inline>
        </w:drawing>
      </w:r>
    </w:p>
    <w:p w14:paraId="62602250">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E9574C5">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07" w:name="_Toc10396"/>
      <w:bookmarkStart w:id="108" w:name="_Toc9964"/>
      <w:bookmarkStart w:id="109" w:name="_Toc23744"/>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5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自然保护地分布</w:t>
      </w:r>
      <w:r>
        <w:rPr>
          <w:rFonts w:hint="eastAsia" w:ascii="仿宋" w:hAnsi="仿宋" w:eastAsia="仿宋" w:cs="仿宋"/>
          <w:color w:val="auto"/>
          <w:sz w:val="32"/>
          <w:szCs w:val="32"/>
          <w:highlight w:val="none"/>
          <w:lang w:bidi="ar"/>
        </w:rPr>
        <w:t>图</w:t>
      </w:r>
      <w:bookmarkEnd w:id="107"/>
      <w:bookmarkEnd w:id="108"/>
      <w:bookmarkEnd w:id="109"/>
    </w:p>
    <w:p w14:paraId="0241F43E">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492625"/>
            <wp:effectExtent l="0" t="0" r="6985" b="3175"/>
            <wp:docPr id="7" name="图片 7" descr="龙南市自然然保护地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龙南市自然然保护地分布图"/>
                    <pic:cNvPicPr>
                      <a:picLocks noChangeAspect="1"/>
                    </pic:cNvPicPr>
                  </pic:nvPicPr>
                  <pic:blipFill>
                    <a:blip r:embed="rId20"/>
                    <a:srcRect l="1810" t="2559" r="13753" b="2815"/>
                    <a:stretch>
                      <a:fillRect/>
                    </a:stretch>
                  </pic:blipFill>
                  <pic:spPr>
                    <a:xfrm>
                      <a:off x="0" y="0"/>
                      <a:ext cx="5669915" cy="4492625"/>
                    </a:xfrm>
                    <a:prstGeom prst="rect">
                      <a:avLst/>
                    </a:prstGeom>
                  </pic:spPr>
                </pic:pic>
              </a:graphicData>
            </a:graphic>
          </wp:inline>
        </w:drawing>
      </w:r>
    </w:p>
    <w:p w14:paraId="58C62391">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36B1E2A1">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0" w:name="_Toc25590"/>
      <w:bookmarkStart w:id="111" w:name="_Toc7348"/>
      <w:bookmarkStart w:id="112" w:name="_Toc17845"/>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6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历史遗留矿山分布</w:t>
      </w:r>
      <w:r>
        <w:rPr>
          <w:rFonts w:hint="eastAsia" w:ascii="仿宋" w:hAnsi="仿宋" w:eastAsia="仿宋" w:cs="仿宋"/>
          <w:color w:val="auto"/>
          <w:sz w:val="32"/>
          <w:szCs w:val="32"/>
          <w:highlight w:val="none"/>
          <w:lang w:bidi="ar"/>
        </w:rPr>
        <w:t>图</w:t>
      </w:r>
      <w:bookmarkEnd w:id="110"/>
      <w:bookmarkEnd w:id="111"/>
      <w:bookmarkEnd w:id="112"/>
    </w:p>
    <w:p w14:paraId="1AF885F8">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63110"/>
            <wp:effectExtent l="0" t="0" r="6985" b="8890"/>
            <wp:docPr id="17" name="图片 17" descr="龙南市历史遗留矿山点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龙南市历史遗留矿山点分布图"/>
                    <pic:cNvPicPr>
                      <a:picLocks noChangeAspect="1"/>
                    </pic:cNvPicPr>
                  </pic:nvPicPr>
                  <pic:blipFill>
                    <a:blip r:embed="rId21"/>
                    <a:srcRect l="1810" t="2047" r="13934" b="2047"/>
                    <a:stretch>
                      <a:fillRect/>
                    </a:stretch>
                  </pic:blipFill>
                  <pic:spPr>
                    <a:xfrm>
                      <a:off x="0" y="0"/>
                      <a:ext cx="5669915" cy="4563110"/>
                    </a:xfrm>
                    <a:prstGeom prst="rect">
                      <a:avLst/>
                    </a:prstGeom>
                  </pic:spPr>
                </pic:pic>
              </a:graphicData>
            </a:graphic>
          </wp:inline>
        </w:drawing>
      </w:r>
    </w:p>
    <w:p w14:paraId="62A8B739">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35BD0E48">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3" w:name="_Toc25601"/>
      <w:bookmarkStart w:id="114" w:name="_Toc10817"/>
      <w:bookmarkStart w:id="115" w:name="_Toc8909"/>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7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城乡空间发展格局示意</w:t>
      </w:r>
      <w:r>
        <w:rPr>
          <w:rFonts w:hint="eastAsia" w:ascii="仿宋" w:hAnsi="仿宋" w:eastAsia="仿宋" w:cs="仿宋"/>
          <w:color w:val="auto"/>
          <w:sz w:val="32"/>
          <w:szCs w:val="32"/>
          <w:highlight w:val="none"/>
          <w:lang w:bidi="ar"/>
        </w:rPr>
        <w:t>图</w:t>
      </w:r>
      <w:bookmarkEnd w:id="113"/>
      <w:bookmarkEnd w:id="114"/>
      <w:bookmarkEnd w:id="115"/>
    </w:p>
    <w:p w14:paraId="487F0D57">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31995"/>
            <wp:effectExtent l="0" t="0" r="6985" b="1905"/>
            <wp:docPr id="23" name="图片 23" descr="龙南市城乡空间发展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龙南市城乡空间发展格局示意图"/>
                    <pic:cNvPicPr>
                      <a:picLocks noChangeAspect="1"/>
                    </pic:cNvPicPr>
                  </pic:nvPicPr>
                  <pic:blipFill>
                    <a:blip r:embed="rId22"/>
                    <a:srcRect l="1629" t="2047" r="13753" b="2303"/>
                    <a:stretch>
                      <a:fillRect/>
                    </a:stretch>
                  </pic:blipFill>
                  <pic:spPr>
                    <a:xfrm>
                      <a:off x="0" y="0"/>
                      <a:ext cx="5669915" cy="4531995"/>
                    </a:xfrm>
                    <a:prstGeom prst="rect">
                      <a:avLst/>
                    </a:prstGeom>
                  </pic:spPr>
                </pic:pic>
              </a:graphicData>
            </a:graphic>
          </wp:inline>
        </w:drawing>
      </w:r>
    </w:p>
    <w:p w14:paraId="0ADFCD9E">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623A7261">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6" w:name="_Toc30751"/>
      <w:bookmarkStart w:id="117" w:name="_Toc3848"/>
      <w:bookmarkStart w:id="118" w:name="_Toc23185"/>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8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生态保护重要性评价</w:t>
      </w:r>
      <w:r>
        <w:rPr>
          <w:rFonts w:hint="eastAsia" w:ascii="仿宋" w:hAnsi="仿宋" w:eastAsia="仿宋" w:cs="仿宋"/>
          <w:color w:val="auto"/>
          <w:sz w:val="32"/>
          <w:szCs w:val="32"/>
          <w:highlight w:val="none"/>
          <w:lang w:bidi="ar"/>
        </w:rPr>
        <w:t>图</w:t>
      </w:r>
      <w:bookmarkEnd w:id="116"/>
      <w:bookmarkEnd w:id="117"/>
      <w:bookmarkEnd w:id="118"/>
    </w:p>
    <w:p w14:paraId="1DED7AA1">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4" name="图片 24" descr="龙南市生态保护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龙南市生态保护重要性评价图"/>
                    <pic:cNvPicPr>
                      <a:picLocks noChangeAspect="1"/>
                    </pic:cNvPicPr>
                  </pic:nvPicPr>
                  <pic:blipFill>
                    <a:blip r:embed="rId23"/>
                    <a:srcRect l="1629" t="2303" r="13934" b="2047"/>
                    <a:stretch>
                      <a:fillRect/>
                    </a:stretch>
                  </pic:blipFill>
                  <pic:spPr>
                    <a:xfrm>
                      <a:off x="0" y="0"/>
                      <a:ext cx="5669915" cy="4541520"/>
                    </a:xfrm>
                    <a:prstGeom prst="rect">
                      <a:avLst/>
                    </a:prstGeom>
                  </pic:spPr>
                </pic:pic>
              </a:graphicData>
            </a:graphic>
          </wp:inline>
        </w:drawing>
      </w:r>
    </w:p>
    <w:p w14:paraId="6EA3A7E5">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7B07ACCD">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19" w:name="_Toc2027"/>
      <w:bookmarkStart w:id="120" w:name="_Toc10118"/>
      <w:bookmarkStart w:id="121" w:name="_Toc15210"/>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9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生态服务功能重要性评价</w:t>
      </w:r>
      <w:r>
        <w:rPr>
          <w:rFonts w:hint="eastAsia" w:ascii="仿宋" w:hAnsi="仿宋" w:eastAsia="仿宋" w:cs="仿宋"/>
          <w:color w:val="auto"/>
          <w:sz w:val="32"/>
          <w:szCs w:val="32"/>
          <w:highlight w:val="none"/>
          <w:lang w:bidi="ar"/>
        </w:rPr>
        <w:t>图</w:t>
      </w:r>
      <w:bookmarkEnd w:id="119"/>
      <w:bookmarkEnd w:id="120"/>
      <w:bookmarkEnd w:id="121"/>
    </w:p>
    <w:p w14:paraId="0626D610">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1520"/>
            <wp:effectExtent l="0" t="0" r="6985" b="11430"/>
            <wp:docPr id="25" name="图片 25" descr="龙南市生态服务功能重要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龙南市生态服务功能重要性评价图"/>
                    <pic:cNvPicPr>
                      <a:picLocks noChangeAspect="1"/>
                    </pic:cNvPicPr>
                  </pic:nvPicPr>
                  <pic:blipFill>
                    <a:blip r:embed="rId24"/>
                    <a:srcRect l="1629" t="2047" r="13934" b="2303"/>
                    <a:stretch>
                      <a:fillRect/>
                    </a:stretch>
                  </pic:blipFill>
                  <pic:spPr>
                    <a:xfrm>
                      <a:off x="0" y="0"/>
                      <a:ext cx="5669915" cy="4541520"/>
                    </a:xfrm>
                    <a:prstGeom prst="rect">
                      <a:avLst/>
                    </a:prstGeom>
                  </pic:spPr>
                </pic:pic>
              </a:graphicData>
            </a:graphic>
          </wp:inline>
        </w:drawing>
      </w:r>
    </w:p>
    <w:p w14:paraId="33B237DA">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22DA972">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2" w:name="_Toc3441"/>
      <w:bookmarkStart w:id="123" w:name="_Toc32011"/>
      <w:bookmarkStart w:id="124" w:name="_Toc27561"/>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10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生态敏感性评价</w:t>
      </w:r>
      <w:r>
        <w:rPr>
          <w:rFonts w:hint="eastAsia" w:ascii="仿宋" w:hAnsi="仿宋" w:eastAsia="仿宋" w:cs="仿宋"/>
          <w:color w:val="auto"/>
          <w:sz w:val="32"/>
          <w:szCs w:val="32"/>
          <w:highlight w:val="none"/>
          <w:lang w:bidi="ar"/>
        </w:rPr>
        <w:t>图</w:t>
      </w:r>
      <w:bookmarkEnd w:id="122"/>
      <w:bookmarkEnd w:id="123"/>
      <w:bookmarkEnd w:id="124"/>
    </w:p>
    <w:p w14:paraId="1CD5FEB4">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26" name="图片 26" descr="龙南市生态敏感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龙南市生态敏感性评价图"/>
                    <pic:cNvPicPr>
                      <a:picLocks noChangeAspect="1"/>
                    </pic:cNvPicPr>
                  </pic:nvPicPr>
                  <pic:blipFill>
                    <a:blip r:embed="rId25"/>
                    <a:srcRect l="1629" t="2303" r="13934" b="2303"/>
                    <a:stretch>
                      <a:fillRect/>
                    </a:stretch>
                  </pic:blipFill>
                  <pic:spPr>
                    <a:xfrm>
                      <a:off x="0" y="0"/>
                      <a:ext cx="5669915" cy="4529455"/>
                    </a:xfrm>
                    <a:prstGeom prst="rect">
                      <a:avLst/>
                    </a:prstGeom>
                  </pic:spPr>
                </pic:pic>
              </a:graphicData>
            </a:graphic>
          </wp:inline>
        </w:drawing>
      </w:r>
    </w:p>
    <w:p w14:paraId="6879FFFA">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5DE89744">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5" w:name="_Toc7126"/>
      <w:bookmarkStart w:id="126" w:name="_Toc21824"/>
      <w:bookmarkStart w:id="127" w:name="_Toc18153"/>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11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农业适宜性评价</w:t>
      </w:r>
      <w:r>
        <w:rPr>
          <w:rFonts w:hint="eastAsia" w:ascii="仿宋" w:hAnsi="仿宋" w:eastAsia="仿宋" w:cs="仿宋"/>
          <w:color w:val="auto"/>
          <w:sz w:val="32"/>
          <w:szCs w:val="32"/>
          <w:highlight w:val="none"/>
          <w:lang w:bidi="ar"/>
        </w:rPr>
        <w:t>图</w:t>
      </w:r>
      <w:bookmarkEnd w:id="125"/>
      <w:bookmarkEnd w:id="126"/>
      <w:bookmarkEnd w:id="127"/>
    </w:p>
    <w:p w14:paraId="17618BB8">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19295"/>
            <wp:effectExtent l="0" t="0" r="6985" b="14605"/>
            <wp:docPr id="27" name="图片 27" descr="龙南市农业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龙南市农业适宜性评价图"/>
                    <pic:cNvPicPr>
                      <a:picLocks noChangeAspect="1"/>
                    </pic:cNvPicPr>
                  </pic:nvPicPr>
                  <pic:blipFill>
                    <a:blip r:embed="rId26"/>
                    <a:srcRect l="1629" t="2303" r="13753" b="2303"/>
                    <a:stretch>
                      <a:fillRect/>
                    </a:stretch>
                  </pic:blipFill>
                  <pic:spPr>
                    <a:xfrm>
                      <a:off x="0" y="0"/>
                      <a:ext cx="5669915" cy="4519295"/>
                    </a:xfrm>
                    <a:prstGeom prst="rect">
                      <a:avLst/>
                    </a:prstGeom>
                  </pic:spPr>
                </pic:pic>
              </a:graphicData>
            </a:graphic>
          </wp:inline>
        </w:drawing>
      </w:r>
    </w:p>
    <w:p w14:paraId="7EB98FCB">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2AED1CC0">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28" w:name="_Toc24849"/>
      <w:bookmarkStart w:id="129" w:name="_Toc31919"/>
      <w:bookmarkStart w:id="130" w:name="_Toc8738"/>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12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城镇适宜性评价</w:t>
      </w:r>
      <w:r>
        <w:rPr>
          <w:rFonts w:hint="eastAsia" w:ascii="仿宋" w:hAnsi="仿宋" w:eastAsia="仿宋" w:cs="仿宋"/>
          <w:color w:val="auto"/>
          <w:sz w:val="32"/>
          <w:szCs w:val="32"/>
          <w:highlight w:val="none"/>
          <w:lang w:bidi="ar"/>
        </w:rPr>
        <w:t>图</w:t>
      </w:r>
      <w:bookmarkEnd w:id="128"/>
      <w:bookmarkEnd w:id="129"/>
      <w:bookmarkEnd w:id="130"/>
    </w:p>
    <w:p w14:paraId="7E5F0A12">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53585"/>
            <wp:effectExtent l="0" t="0" r="6985" b="18415"/>
            <wp:docPr id="30" name="图片 30" descr="龙南市城镇适宜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龙南市城镇适宜性评价图"/>
                    <pic:cNvPicPr>
                      <a:picLocks noChangeAspect="1"/>
                    </pic:cNvPicPr>
                  </pic:nvPicPr>
                  <pic:blipFill>
                    <a:blip r:embed="rId27"/>
                    <a:srcRect l="1629" t="2047" r="13934" b="2047"/>
                    <a:stretch>
                      <a:fillRect/>
                    </a:stretch>
                  </pic:blipFill>
                  <pic:spPr>
                    <a:xfrm>
                      <a:off x="0" y="0"/>
                      <a:ext cx="5669915" cy="4553585"/>
                    </a:xfrm>
                    <a:prstGeom prst="rect">
                      <a:avLst/>
                    </a:prstGeom>
                  </pic:spPr>
                </pic:pic>
              </a:graphicData>
            </a:graphic>
          </wp:inline>
        </w:drawing>
      </w:r>
    </w:p>
    <w:p w14:paraId="3468BB2D">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0F5CB2AA">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31" w:name="_Toc3772"/>
      <w:bookmarkStart w:id="132" w:name="_Toc10679"/>
      <w:bookmarkStart w:id="133" w:name="_Toc24000"/>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13  国家和江西省关于</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主体功能区划</w:t>
      </w:r>
      <w:r>
        <w:rPr>
          <w:rFonts w:hint="eastAsia" w:ascii="仿宋" w:hAnsi="仿宋" w:eastAsia="仿宋" w:cs="仿宋"/>
          <w:color w:val="auto"/>
          <w:sz w:val="32"/>
          <w:szCs w:val="32"/>
          <w:highlight w:val="none"/>
          <w:lang w:bidi="ar"/>
        </w:rPr>
        <w:t>图</w:t>
      </w:r>
      <w:bookmarkEnd w:id="131"/>
      <w:bookmarkEnd w:id="132"/>
      <w:bookmarkEnd w:id="133"/>
    </w:p>
    <w:p w14:paraId="43A792A9">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29455"/>
            <wp:effectExtent l="0" t="0" r="6985" b="4445"/>
            <wp:docPr id="31" name="图片 31" descr="龙南市主体功能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龙南市主体功能区划图"/>
                    <pic:cNvPicPr>
                      <a:picLocks noChangeAspect="1"/>
                    </pic:cNvPicPr>
                  </pic:nvPicPr>
                  <pic:blipFill>
                    <a:blip r:embed="rId28"/>
                    <a:srcRect l="1629" t="2303" r="13934" b="2303"/>
                    <a:stretch>
                      <a:fillRect/>
                    </a:stretch>
                  </pic:blipFill>
                  <pic:spPr>
                    <a:xfrm>
                      <a:off x="0" y="0"/>
                      <a:ext cx="5669915" cy="4529455"/>
                    </a:xfrm>
                    <a:prstGeom prst="rect">
                      <a:avLst/>
                    </a:prstGeom>
                  </pic:spPr>
                </pic:pic>
              </a:graphicData>
            </a:graphic>
          </wp:inline>
        </w:drawing>
      </w:r>
    </w:p>
    <w:p w14:paraId="0919D683">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33D81F3">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34" w:name="_Toc6354"/>
      <w:bookmarkStart w:id="135" w:name="_Toc10004"/>
      <w:bookmarkStart w:id="136" w:name="_Toc18038"/>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14  </w:t>
      </w:r>
      <w:r>
        <w:rPr>
          <w:rFonts w:hint="eastAsia" w:ascii="仿宋" w:hAnsi="仿宋" w:eastAsia="仿宋" w:cs="仿宋"/>
          <w:color w:val="auto"/>
          <w:sz w:val="32"/>
          <w:szCs w:val="32"/>
          <w:highlight w:val="none"/>
          <w:lang w:bidi="ar"/>
        </w:rPr>
        <w:t>龙南市</w:t>
      </w:r>
      <w:r>
        <w:rPr>
          <w:rFonts w:hint="eastAsia" w:ascii="仿宋" w:hAnsi="仿宋" w:eastAsia="仿宋" w:cs="仿宋"/>
          <w:color w:val="auto"/>
          <w:sz w:val="32"/>
          <w:szCs w:val="32"/>
          <w:highlight w:val="none"/>
          <w:lang w:val="en-US" w:eastAsia="zh-CN" w:bidi="ar"/>
        </w:rPr>
        <w:t>生态安全格局示意</w:t>
      </w:r>
      <w:r>
        <w:rPr>
          <w:rFonts w:hint="eastAsia" w:ascii="仿宋" w:hAnsi="仿宋" w:eastAsia="仿宋" w:cs="仿宋"/>
          <w:color w:val="auto"/>
          <w:sz w:val="32"/>
          <w:szCs w:val="32"/>
          <w:highlight w:val="none"/>
          <w:lang w:bidi="ar"/>
        </w:rPr>
        <w:t>图</w:t>
      </w:r>
      <w:bookmarkEnd w:id="134"/>
      <w:bookmarkEnd w:id="135"/>
      <w:bookmarkEnd w:id="136"/>
    </w:p>
    <w:p w14:paraId="73A9D90A">
      <w:pPr>
        <w:ind w:firstLine="0" w:firstLineChars="0"/>
        <w:rPr>
          <w:rFonts w:hint="eastAsia" w:ascii="黑体" w:hAnsi="黑体" w:eastAsia="黑体" w:cs="黑体"/>
          <w:color w:val="auto"/>
          <w:kern w:val="0"/>
          <w:sz w:val="28"/>
          <w:szCs w:val="28"/>
          <w:highlight w:val="none"/>
          <w:lang w:eastAsia="zh-CN" w:bidi="ar"/>
        </w:rPr>
      </w:pPr>
      <w:r>
        <w:rPr>
          <w:rFonts w:hint="eastAsia" w:ascii="黑体" w:hAnsi="黑体" w:eastAsia="黑体" w:cs="黑体"/>
          <w:color w:val="auto"/>
          <w:kern w:val="0"/>
          <w:sz w:val="28"/>
          <w:szCs w:val="28"/>
          <w:highlight w:val="none"/>
          <w:lang w:eastAsia="zh-CN" w:bidi="ar"/>
        </w:rPr>
        <w:drawing>
          <wp:inline distT="0" distB="0" distL="114300" distR="114300">
            <wp:extent cx="5669915" cy="4544060"/>
            <wp:effectExtent l="0" t="0" r="6985" b="8890"/>
            <wp:docPr id="32" name="图片 32" descr="龙南市生态安全格局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龙南市生态安全格局示意图"/>
                    <pic:cNvPicPr>
                      <a:picLocks noChangeAspect="1"/>
                    </pic:cNvPicPr>
                  </pic:nvPicPr>
                  <pic:blipFill>
                    <a:blip r:embed="rId29"/>
                    <a:srcRect l="1629" t="2047" r="13753" b="2047"/>
                    <a:stretch>
                      <a:fillRect/>
                    </a:stretch>
                  </pic:blipFill>
                  <pic:spPr>
                    <a:xfrm>
                      <a:off x="0" y="0"/>
                      <a:ext cx="5669915" cy="4544060"/>
                    </a:xfrm>
                    <a:prstGeom prst="rect">
                      <a:avLst/>
                    </a:prstGeom>
                  </pic:spPr>
                </pic:pic>
              </a:graphicData>
            </a:graphic>
          </wp:inline>
        </w:drawing>
      </w:r>
    </w:p>
    <w:p w14:paraId="064333C5">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2D78C2F">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r>
        <w:rPr>
          <w:rFonts w:hint="eastAsia" w:ascii="仿宋" w:hAnsi="仿宋" w:eastAsia="仿宋" w:cs="仿宋"/>
          <w:color w:val="auto"/>
          <w:kern w:val="0"/>
          <w:sz w:val="32"/>
          <w:szCs w:val="32"/>
          <w:highlight w:val="none"/>
          <w:lang w:bidi="ar"/>
        </w:rPr>
        <w:br w:type="page"/>
      </w:r>
      <w:bookmarkStart w:id="137" w:name="_Toc31733"/>
      <w:bookmarkStart w:id="138" w:name="_Toc31258"/>
      <w:bookmarkStart w:id="139" w:name="_Toc28495"/>
      <w:r>
        <w:rPr>
          <w:rFonts w:hint="eastAsia" w:ascii="仿宋" w:hAnsi="仿宋" w:eastAsia="仿宋" w:cs="仿宋"/>
          <w:color w:val="auto"/>
          <w:sz w:val="32"/>
          <w:szCs w:val="32"/>
          <w:highlight w:val="none"/>
          <w:lang w:bidi="ar"/>
        </w:rPr>
        <w:t>附图1</w:t>
      </w:r>
      <w:r>
        <w:rPr>
          <w:rFonts w:hint="eastAsia" w:ascii="仿宋" w:hAnsi="仿宋" w:eastAsia="仿宋" w:cs="仿宋"/>
          <w:color w:val="auto"/>
          <w:sz w:val="32"/>
          <w:szCs w:val="32"/>
          <w:highlight w:val="none"/>
          <w:lang w:val="en-US" w:eastAsia="zh-CN" w:bidi="ar"/>
        </w:rPr>
        <w:t xml:space="preserve">5  </w:t>
      </w:r>
      <w:r>
        <w:rPr>
          <w:rFonts w:hint="eastAsia" w:ascii="仿宋" w:hAnsi="仿宋" w:eastAsia="仿宋" w:cs="仿宋"/>
          <w:color w:val="auto"/>
          <w:sz w:val="32"/>
          <w:szCs w:val="32"/>
          <w:highlight w:val="none"/>
          <w:lang w:bidi="ar"/>
        </w:rPr>
        <w:t>龙南市生态修复总体布局图</w:t>
      </w:r>
      <w:bookmarkEnd w:id="137"/>
      <w:bookmarkEnd w:id="138"/>
      <w:bookmarkEnd w:id="139"/>
    </w:p>
    <w:p w14:paraId="157A2C3F">
      <w:pPr>
        <w:ind w:firstLine="0" w:firstLineChars="0"/>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668645" cy="4970145"/>
            <wp:effectExtent l="0" t="0" r="8255" b="1905"/>
            <wp:docPr id="1" name="图片 1" descr="337efdbd3db7b7414456d45b61db0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37efdbd3db7b7414456d45b61db0d1"/>
                    <pic:cNvPicPr>
                      <a:picLocks noChangeAspect="1"/>
                    </pic:cNvPicPr>
                  </pic:nvPicPr>
                  <pic:blipFill>
                    <a:blip r:embed="rId30"/>
                    <a:srcRect l="2279" t="3223" r="14032" b="2731"/>
                    <a:stretch>
                      <a:fillRect/>
                    </a:stretch>
                  </pic:blipFill>
                  <pic:spPr>
                    <a:xfrm>
                      <a:off x="0" y="0"/>
                      <a:ext cx="5668645" cy="4970145"/>
                    </a:xfrm>
                    <a:prstGeom prst="rect">
                      <a:avLst/>
                    </a:prstGeom>
                  </pic:spPr>
                </pic:pic>
              </a:graphicData>
            </a:graphic>
          </wp:inline>
        </w:drawing>
      </w:r>
    </w:p>
    <w:p w14:paraId="6453BCF2">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hint="eastAsia" w:ascii="仿宋" w:hAnsi="仿宋" w:eastAsia="仿宋" w:cs="仿宋"/>
          <w:color w:val="auto"/>
          <w:kern w:val="0"/>
          <w:sz w:val="32"/>
          <w:szCs w:val="32"/>
          <w:highlight w:val="none"/>
          <w:lang w:bidi="ar"/>
        </w:rPr>
      </w:pPr>
    </w:p>
    <w:p w14:paraId="4FAFC07B">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left"/>
        <w:textAlignment w:val="auto"/>
        <w:rPr>
          <w:rFonts w:ascii="黑体" w:hAnsi="黑体" w:eastAsia="黑体" w:cs="黑体"/>
          <w:color w:val="auto"/>
          <w:kern w:val="0"/>
          <w:sz w:val="28"/>
          <w:szCs w:val="28"/>
          <w:highlight w:val="none"/>
          <w:lang w:bidi="ar"/>
        </w:rPr>
      </w:pPr>
      <w:r>
        <w:rPr>
          <w:rFonts w:hint="eastAsia" w:ascii="仿宋" w:hAnsi="仿宋" w:eastAsia="仿宋" w:cs="仿宋"/>
          <w:color w:val="auto"/>
          <w:kern w:val="0"/>
          <w:sz w:val="32"/>
          <w:szCs w:val="32"/>
          <w:highlight w:val="none"/>
          <w:lang w:bidi="ar"/>
        </w:rPr>
        <w:br w:type="page"/>
      </w:r>
    </w:p>
    <w:p w14:paraId="4505E9D6">
      <w:pPr>
        <w:pStyle w:val="6"/>
        <w:keepNext w:val="0"/>
        <w:keepLines w:val="0"/>
        <w:pageBreakBefore w:val="0"/>
        <w:widowControl w:val="0"/>
        <w:kinsoku/>
        <w:wordWrap/>
        <w:overflowPunct/>
        <w:topLinePunct w:val="0"/>
        <w:autoSpaceDE/>
        <w:autoSpaceDN/>
        <w:bidi w:val="0"/>
        <w:adjustRightInd w:val="0"/>
        <w:snapToGrid w:val="0"/>
        <w:spacing w:before="157" w:beforeLines="50" w:after="157" w:afterLines="50" w:line="240" w:lineRule="auto"/>
        <w:jc w:val="center"/>
        <w:textAlignment w:val="auto"/>
        <w:rPr>
          <w:rFonts w:hint="eastAsia" w:ascii="仿宋" w:hAnsi="仿宋" w:eastAsia="仿宋" w:cs="仿宋"/>
          <w:color w:val="auto"/>
          <w:sz w:val="32"/>
          <w:szCs w:val="32"/>
          <w:highlight w:val="none"/>
          <w:lang w:bidi="ar"/>
        </w:rPr>
      </w:pPr>
      <w:bookmarkStart w:id="140" w:name="_Toc22248"/>
      <w:bookmarkStart w:id="141" w:name="_Toc27332"/>
      <w:bookmarkStart w:id="142" w:name="_Toc24007"/>
      <w:r>
        <w:rPr>
          <w:rFonts w:hint="eastAsia" w:ascii="仿宋" w:hAnsi="仿宋" w:eastAsia="仿宋" w:cs="仿宋"/>
          <w:color w:val="auto"/>
          <w:sz w:val="32"/>
          <w:szCs w:val="32"/>
          <w:highlight w:val="none"/>
          <w:lang w:bidi="ar"/>
        </w:rPr>
        <w:t>附图</w:t>
      </w:r>
      <w:r>
        <w:rPr>
          <w:rFonts w:hint="eastAsia" w:ascii="仿宋" w:hAnsi="仿宋" w:eastAsia="仿宋" w:cs="仿宋"/>
          <w:color w:val="auto"/>
          <w:sz w:val="32"/>
          <w:szCs w:val="32"/>
          <w:highlight w:val="none"/>
          <w:lang w:val="en-US" w:eastAsia="zh-CN" w:bidi="ar"/>
        </w:rPr>
        <w:t xml:space="preserve">16  </w:t>
      </w:r>
      <w:r>
        <w:rPr>
          <w:rFonts w:hint="eastAsia" w:ascii="仿宋" w:hAnsi="仿宋" w:eastAsia="仿宋" w:cs="仿宋"/>
          <w:color w:val="auto"/>
          <w:sz w:val="32"/>
          <w:szCs w:val="32"/>
          <w:highlight w:val="none"/>
          <w:lang w:bidi="ar"/>
        </w:rPr>
        <w:t>龙南市生态修复</w:t>
      </w:r>
      <w:r>
        <w:rPr>
          <w:rFonts w:hint="eastAsia" w:ascii="仿宋" w:hAnsi="仿宋" w:eastAsia="仿宋" w:cs="仿宋"/>
          <w:color w:val="auto"/>
          <w:sz w:val="32"/>
          <w:szCs w:val="32"/>
          <w:highlight w:val="none"/>
          <w:lang w:val="en-US" w:eastAsia="zh-CN" w:bidi="ar"/>
        </w:rPr>
        <w:t>重大工程分布</w:t>
      </w:r>
      <w:r>
        <w:rPr>
          <w:rFonts w:hint="eastAsia" w:ascii="仿宋" w:hAnsi="仿宋" w:eastAsia="仿宋" w:cs="仿宋"/>
          <w:color w:val="auto"/>
          <w:sz w:val="32"/>
          <w:szCs w:val="32"/>
          <w:highlight w:val="none"/>
          <w:lang w:bidi="ar"/>
        </w:rPr>
        <w:t>图</w:t>
      </w:r>
      <w:bookmarkEnd w:id="140"/>
      <w:bookmarkEnd w:id="141"/>
      <w:bookmarkEnd w:id="142"/>
    </w:p>
    <w:p w14:paraId="47CAC8F5">
      <w:pPr>
        <w:ind w:firstLine="0" w:firstLineChars="0"/>
        <w:jc w:val="center"/>
        <w:rPr>
          <w:rFonts w:ascii="黑体" w:hAnsi="黑体" w:eastAsia="黑体" w:cs="黑体"/>
          <w:color w:val="auto"/>
          <w:kern w:val="0"/>
          <w:sz w:val="28"/>
          <w:szCs w:val="28"/>
          <w:highlight w:val="none"/>
          <w:lang w:bidi="ar"/>
        </w:rPr>
      </w:pPr>
      <w:r>
        <w:rPr>
          <w:rFonts w:hint="eastAsia" w:ascii="黑体" w:hAnsi="黑体" w:eastAsia="黑体" w:cs="黑体"/>
          <w:color w:val="auto"/>
          <w:kern w:val="0"/>
          <w:sz w:val="28"/>
          <w:szCs w:val="28"/>
          <w:highlight w:val="none"/>
        </w:rPr>
        <w:drawing>
          <wp:inline distT="0" distB="0" distL="114300" distR="114300">
            <wp:extent cx="5450840" cy="4851400"/>
            <wp:effectExtent l="0" t="0" r="10160" b="0"/>
            <wp:docPr id="8" name="图片 8" descr="a6aa2afeac2c8e04f280789056a90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a6aa2afeac2c8e04f280789056a906f"/>
                    <pic:cNvPicPr>
                      <a:picLocks noChangeAspect="1"/>
                    </pic:cNvPicPr>
                  </pic:nvPicPr>
                  <pic:blipFill>
                    <a:blip r:embed="rId31"/>
                    <a:srcRect l="2268" t="3191" r="14139" b="3208"/>
                    <a:stretch>
                      <a:fillRect/>
                    </a:stretch>
                  </pic:blipFill>
                  <pic:spPr>
                    <a:xfrm>
                      <a:off x="0" y="0"/>
                      <a:ext cx="5450840" cy="4851400"/>
                    </a:xfrm>
                    <a:prstGeom prst="rect">
                      <a:avLst/>
                    </a:prstGeom>
                  </pic:spPr>
                </pic:pic>
              </a:graphicData>
            </a:graphic>
          </wp:inline>
        </w:drawing>
      </w:r>
    </w:p>
    <w:p w14:paraId="5B7F8B97">
      <w:pPr>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bidi="ar"/>
        </w:rPr>
      </w:pPr>
    </w:p>
    <w:p w14:paraId="767D7FEC">
      <w:pPr>
        <w:pStyle w:val="2"/>
        <w:keepNext w:val="0"/>
        <w:keepLines w:val="0"/>
        <w:pageBreakBefore w:val="0"/>
        <w:widowControl w:val="0"/>
        <w:kinsoku/>
        <w:wordWrap/>
        <w:overflowPunct w:val="0"/>
        <w:topLinePunct w:val="0"/>
        <w:autoSpaceDE/>
        <w:autoSpaceDN/>
        <w:bidi w:val="0"/>
        <w:adjustRightInd/>
        <w:snapToGrid/>
        <w:spacing w:line="360" w:lineRule="auto"/>
        <w:ind w:firstLine="0" w:firstLineChars="0"/>
        <w:textAlignment w:val="auto"/>
        <w:rPr>
          <w:rFonts w:hint="eastAsia" w:ascii="仿宋" w:hAnsi="仿宋" w:eastAsia="仿宋" w:cs="仿宋"/>
          <w:color w:val="auto"/>
          <w:kern w:val="0"/>
          <w:sz w:val="32"/>
          <w:szCs w:val="32"/>
          <w:highlight w:val="none"/>
          <w:lang w:val="en-US" w:eastAsia="zh-CN" w:bidi="ar"/>
        </w:rPr>
      </w:pPr>
    </w:p>
    <w:sectPr>
      <w:pgSz w:w="11906" w:h="16838"/>
      <w:pgMar w:top="1440" w:right="1800" w:bottom="1440" w:left="1800" w:header="851" w:footer="992" w:gutter="0"/>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JhengHei">
    <w:panose1 w:val="020B0604030504040204"/>
    <w:charset w:val="88"/>
    <w:family w:val="swiss"/>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9C478">
    <w:pPr>
      <w:pStyle w:val="9"/>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19</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75978F09">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393B3">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HorizontalSpacing w:val="2"/>
  <w:drawingGridVerticalSpacing w:val="2"/>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yZGE1Njg5ZjNjZTZiZDhjNzAwNDY0NzczZmFkOGEifQ=="/>
  </w:docVars>
  <w:rsids>
    <w:rsidRoot w:val="00172A27"/>
    <w:rsid w:val="0003444F"/>
    <w:rsid w:val="0008461A"/>
    <w:rsid w:val="000B1BD8"/>
    <w:rsid w:val="000D6C03"/>
    <w:rsid w:val="00190955"/>
    <w:rsid w:val="003B1816"/>
    <w:rsid w:val="003F32DF"/>
    <w:rsid w:val="004074CA"/>
    <w:rsid w:val="0050094E"/>
    <w:rsid w:val="0067018D"/>
    <w:rsid w:val="006F0B7E"/>
    <w:rsid w:val="007147DE"/>
    <w:rsid w:val="00715587"/>
    <w:rsid w:val="008254AA"/>
    <w:rsid w:val="00854A49"/>
    <w:rsid w:val="00863381"/>
    <w:rsid w:val="00863BA7"/>
    <w:rsid w:val="008D71DF"/>
    <w:rsid w:val="0091211D"/>
    <w:rsid w:val="00A52342"/>
    <w:rsid w:val="00B240AC"/>
    <w:rsid w:val="00D06ABB"/>
    <w:rsid w:val="00E331CB"/>
    <w:rsid w:val="00E72A12"/>
    <w:rsid w:val="00E74DFA"/>
    <w:rsid w:val="00F5582D"/>
    <w:rsid w:val="010C4310"/>
    <w:rsid w:val="010C5A57"/>
    <w:rsid w:val="011E3ECF"/>
    <w:rsid w:val="013A1C01"/>
    <w:rsid w:val="013E57FA"/>
    <w:rsid w:val="014642B2"/>
    <w:rsid w:val="014D23E0"/>
    <w:rsid w:val="01591401"/>
    <w:rsid w:val="01642B91"/>
    <w:rsid w:val="017E5D60"/>
    <w:rsid w:val="018F3E55"/>
    <w:rsid w:val="019F0DD3"/>
    <w:rsid w:val="019F3E67"/>
    <w:rsid w:val="01A26CC4"/>
    <w:rsid w:val="01AD6CBD"/>
    <w:rsid w:val="01C00034"/>
    <w:rsid w:val="01C56A49"/>
    <w:rsid w:val="01CD7A71"/>
    <w:rsid w:val="01D57F25"/>
    <w:rsid w:val="01D81F13"/>
    <w:rsid w:val="01E33987"/>
    <w:rsid w:val="01E83294"/>
    <w:rsid w:val="01FF1E14"/>
    <w:rsid w:val="02047F63"/>
    <w:rsid w:val="020B19DC"/>
    <w:rsid w:val="020B1ECB"/>
    <w:rsid w:val="023815A4"/>
    <w:rsid w:val="024504D9"/>
    <w:rsid w:val="025175BC"/>
    <w:rsid w:val="02543316"/>
    <w:rsid w:val="025C57F4"/>
    <w:rsid w:val="025E17D4"/>
    <w:rsid w:val="0260551C"/>
    <w:rsid w:val="0269633F"/>
    <w:rsid w:val="026B43BA"/>
    <w:rsid w:val="026C6B58"/>
    <w:rsid w:val="02763385"/>
    <w:rsid w:val="028670E3"/>
    <w:rsid w:val="02970528"/>
    <w:rsid w:val="029842F4"/>
    <w:rsid w:val="029F1C6D"/>
    <w:rsid w:val="029F703D"/>
    <w:rsid w:val="02BE5ECD"/>
    <w:rsid w:val="02C2542D"/>
    <w:rsid w:val="02CD6424"/>
    <w:rsid w:val="02E016A9"/>
    <w:rsid w:val="02E77286"/>
    <w:rsid w:val="02F12F81"/>
    <w:rsid w:val="02FB03E5"/>
    <w:rsid w:val="02FE1274"/>
    <w:rsid w:val="0310104E"/>
    <w:rsid w:val="032F5FEC"/>
    <w:rsid w:val="03344B59"/>
    <w:rsid w:val="03387A71"/>
    <w:rsid w:val="035C329E"/>
    <w:rsid w:val="035F03D0"/>
    <w:rsid w:val="038477CD"/>
    <w:rsid w:val="0388170F"/>
    <w:rsid w:val="038F519E"/>
    <w:rsid w:val="03AF479B"/>
    <w:rsid w:val="03BF7738"/>
    <w:rsid w:val="03C72CD5"/>
    <w:rsid w:val="03D50049"/>
    <w:rsid w:val="03DC5683"/>
    <w:rsid w:val="03DD7678"/>
    <w:rsid w:val="03F77A8A"/>
    <w:rsid w:val="03FE079D"/>
    <w:rsid w:val="04086C53"/>
    <w:rsid w:val="041011AE"/>
    <w:rsid w:val="04104667"/>
    <w:rsid w:val="04182C04"/>
    <w:rsid w:val="0425073C"/>
    <w:rsid w:val="04287412"/>
    <w:rsid w:val="043564B4"/>
    <w:rsid w:val="04380202"/>
    <w:rsid w:val="04423076"/>
    <w:rsid w:val="045560A0"/>
    <w:rsid w:val="045B59D1"/>
    <w:rsid w:val="045C5293"/>
    <w:rsid w:val="04663B8D"/>
    <w:rsid w:val="04692239"/>
    <w:rsid w:val="047D13BA"/>
    <w:rsid w:val="047D703B"/>
    <w:rsid w:val="048B4A59"/>
    <w:rsid w:val="04A62806"/>
    <w:rsid w:val="04AB37AF"/>
    <w:rsid w:val="04B130D0"/>
    <w:rsid w:val="04B7682E"/>
    <w:rsid w:val="04C816F4"/>
    <w:rsid w:val="04EE1653"/>
    <w:rsid w:val="04EF51D8"/>
    <w:rsid w:val="04F91385"/>
    <w:rsid w:val="050E30DA"/>
    <w:rsid w:val="0518102B"/>
    <w:rsid w:val="052B1089"/>
    <w:rsid w:val="053C0169"/>
    <w:rsid w:val="053F271E"/>
    <w:rsid w:val="05427BC4"/>
    <w:rsid w:val="05522447"/>
    <w:rsid w:val="055B0831"/>
    <w:rsid w:val="055E1869"/>
    <w:rsid w:val="05604E5F"/>
    <w:rsid w:val="05760905"/>
    <w:rsid w:val="0576689C"/>
    <w:rsid w:val="05772479"/>
    <w:rsid w:val="05850608"/>
    <w:rsid w:val="05897DCC"/>
    <w:rsid w:val="0592727C"/>
    <w:rsid w:val="05C207A4"/>
    <w:rsid w:val="05C22428"/>
    <w:rsid w:val="05C6225D"/>
    <w:rsid w:val="05E5414C"/>
    <w:rsid w:val="05F06F0A"/>
    <w:rsid w:val="05F12C9B"/>
    <w:rsid w:val="05F82CC7"/>
    <w:rsid w:val="06054857"/>
    <w:rsid w:val="060A00DC"/>
    <w:rsid w:val="060C6496"/>
    <w:rsid w:val="06247A74"/>
    <w:rsid w:val="06250A4E"/>
    <w:rsid w:val="06266042"/>
    <w:rsid w:val="062B0752"/>
    <w:rsid w:val="062E4FE8"/>
    <w:rsid w:val="06405F48"/>
    <w:rsid w:val="064833AD"/>
    <w:rsid w:val="064F0CCD"/>
    <w:rsid w:val="0657678C"/>
    <w:rsid w:val="06582D9F"/>
    <w:rsid w:val="065C633B"/>
    <w:rsid w:val="066431FC"/>
    <w:rsid w:val="066B624D"/>
    <w:rsid w:val="06711BC2"/>
    <w:rsid w:val="06912246"/>
    <w:rsid w:val="069A6317"/>
    <w:rsid w:val="069D2C12"/>
    <w:rsid w:val="069E1886"/>
    <w:rsid w:val="06AA2590"/>
    <w:rsid w:val="06B63B28"/>
    <w:rsid w:val="06B66C53"/>
    <w:rsid w:val="06C60964"/>
    <w:rsid w:val="06CF64CF"/>
    <w:rsid w:val="06D43FAF"/>
    <w:rsid w:val="07005225"/>
    <w:rsid w:val="070644A3"/>
    <w:rsid w:val="07111F6A"/>
    <w:rsid w:val="0712746E"/>
    <w:rsid w:val="071B244B"/>
    <w:rsid w:val="072268E8"/>
    <w:rsid w:val="072277F1"/>
    <w:rsid w:val="07263BCC"/>
    <w:rsid w:val="072F561E"/>
    <w:rsid w:val="073E718D"/>
    <w:rsid w:val="07454073"/>
    <w:rsid w:val="074C516C"/>
    <w:rsid w:val="074D2C41"/>
    <w:rsid w:val="07551261"/>
    <w:rsid w:val="075A519A"/>
    <w:rsid w:val="07602AA0"/>
    <w:rsid w:val="077354B4"/>
    <w:rsid w:val="07752B04"/>
    <w:rsid w:val="078359AE"/>
    <w:rsid w:val="078B507A"/>
    <w:rsid w:val="07977BFB"/>
    <w:rsid w:val="079A51FA"/>
    <w:rsid w:val="079C3B5D"/>
    <w:rsid w:val="079E1465"/>
    <w:rsid w:val="07C32158"/>
    <w:rsid w:val="07CE3D8A"/>
    <w:rsid w:val="07D4579C"/>
    <w:rsid w:val="07E24F0E"/>
    <w:rsid w:val="07E52A10"/>
    <w:rsid w:val="07E70836"/>
    <w:rsid w:val="07F76B8E"/>
    <w:rsid w:val="08132B60"/>
    <w:rsid w:val="08285711"/>
    <w:rsid w:val="083B7CF1"/>
    <w:rsid w:val="08505968"/>
    <w:rsid w:val="085E4533"/>
    <w:rsid w:val="08632B8D"/>
    <w:rsid w:val="086D1E9D"/>
    <w:rsid w:val="087C1ADA"/>
    <w:rsid w:val="087C6417"/>
    <w:rsid w:val="089816AC"/>
    <w:rsid w:val="089C7D83"/>
    <w:rsid w:val="089E4A17"/>
    <w:rsid w:val="089E6727"/>
    <w:rsid w:val="08B45344"/>
    <w:rsid w:val="08B56FF4"/>
    <w:rsid w:val="08B65673"/>
    <w:rsid w:val="08BE08A8"/>
    <w:rsid w:val="08BF22BB"/>
    <w:rsid w:val="08C015C4"/>
    <w:rsid w:val="08DE19E8"/>
    <w:rsid w:val="08DE1E47"/>
    <w:rsid w:val="08DE7263"/>
    <w:rsid w:val="08F0133D"/>
    <w:rsid w:val="09033381"/>
    <w:rsid w:val="0915097C"/>
    <w:rsid w:val="09233F80"/>
    <w:rsid w:val="09352CF2"/>
    <w:rsid w:val="09435421"/>
    <w:rsid w:val="095D077A"/>
    <w:rsid w:val="096A1FAF"/>
    <w:rsid w:val="09841F06"/>
    <w:rsid w:val="098551B1"/>
    <w:rsid w:val="098800A9"/>
    <w:rsid w:val="09B0105B"/>
    <w:rsid w:val="09B30A51"/>
    <w:rsid w:val="09B875AB"/>
    <w:rsid w:val="09C8286A"/>
    <w:rsid w:val="09CF5AAD"/>
    <w:rsid w:val="09DB374D"/>
    <w:rsid w:val="09EE3E46"/>
    <w:rsid w:val="09F96DF0"/>
    <w:rsid w:val="0A060FEE"/>
    <w:rsid w:val="0A1C6631"/>
    <w:rsid w:val="0A1E379F"/>
    <w:rsid w:val="0A394497"/>
    <w:rsid w:val="0A486389"/>
    <w:rsid w:val="0A54698F"/>
    <w:rsid w:val="0A5B3763"/>
    <w:rsid w:val="0A644186"/>
    <w:rsid w:val="0A7427A0"/>
    <w:rsid w:val="0A840D10"/>
    <w:rsid w:val="0A872183"/>
    <w:rsid w:val="0A8734BE"/>
    <w:rsid w:val="0A8B10CE"/>
    <w:rsid w:val="0A943EE6"/>
    <w:rsid w:val="0A945CCC"/>
    <w:rsid w:val="0AA17969"/>
    <w:rsid w:val="0AAA4AFF"/>
    <w:rsid w:val="0AAC0628"/>
    <w:rsid w:val="0AB76F19"/>
    <w:rsid w:val="0ABA72A9"/>
    <w:rsid w:val="0ACB50E7"/>
    <w:rsid w:val="0ACB6C2D"/>
    <w:rsid w:val="0ADA30FA"/>
    <w:rsid w:val="0ADE03C1"/>
    <w:rsid w:val="0AE447D3"/>
    <w:rsid w:val="0AEB762A"/>
    <w:rsid w:val="0AEC3290"/>
    <w:rsid w:val="0AF75408"/>
    <w:rsid w:val="0B0C5199"/>
    <w:rsid w:val="0B0C6EE8"/>
    <w:rsid w:val="0B0E1DA6"/>
    <w:rsid w:val="0B166051"/>
    <w:rsid w:val="0B1675AC"/>
    <w:rsid w:val="0B1B68CB"/>
    <w:rsid w:val="0B247780"/>
    <w:rsid w:val="0B256B1C"/>
    <w:rsid w:val="0B2E35B4"/>
    <w:rsid w:val="0B306038"/>
    <w:rsid w:val="0B376358"/>
    <w:rsid w:val="0B3A1B11"/>
    <w:rsid w:val="0B3C5272"/>
    <w:rsid w:val="0B47667A"/>
    <w:rsid w:val="0B4B57A4"/>
    <w:rsid w:val="0B524632"/>
    <w:rsid w:val="0B5536D5"/>
    <w:rsid w:val="0B6723C0"/>
    <w:rsid w:val="0B7465A5"/>
    <w:rsid w:val="0B7F622F"/>
    <w:rsid w:val="0B8304A3"/>
    <w:rsid w:val="0B897767"/>
    <w:rsid w:val="0BA856CD"/>
    <w:rsid w:val="0BBD00E0"/>
    <w:rsid w:val="0BD47F1C"/>
    <w:rsid w:val="0BEB4D72"/>
    <w:rsid w:val="0BF1476C"/>
    <w:rsid w:val="0BFC0B6D"/>
    <w:rsid w:val="0BFC1A90"/>
    <w:rsid w:val="0C2B28E0"/>
    <w:rsid w:val="0C2F2BCA"/>
    <w:rsid w:val="0C303C49"/>
    <w:rsid w:val="0C351A2B"/>
    <w:rsid w:val="0C3E387B"/>
    <w:rsid w:val="0C645684"/>
    <w:rsid w:val="0C6B1EFA"/>
    <w:rsid w:val="0C6E146E"/>
    <w:rsid w:val="0C707984"/>
    <w:rsid w:val="0C786FAF"/>
    <w:rsid w:val="0C84667E"/>
    <w:rsid w:val="0C9618B7"/>
    <w:rsid w:val="0C974730"/>
    <w:rsid w:val="0CA3039C"/>
    <w:rsid w:val="0CC82294"/>
    <w:rsid w:val="0CD279A2"/>
    <w:rsid w:val="0CD60AF9"/>
    <w:rsid w:val="0CE80371"/>
    <w:rsid w:val="0CEA1777"/>
    <w:rsid w:val="0CEC1AAC"/>
    <w:rsid w:val="0CEC7715"/>
    <w:rsid w:val="0CF530B3"/>
    <w:rsid w:val="0D086FD0"/>
    <w:rsid w:val="0D126351"/>
    <w:rsid w:val="0D142131"/>
    <w:rsid w:val="0D1839D2"/>
    <w:rsid w:val="0D187FA9"/>
    <w:rsid w:val="0D363F97"/>
    <w:rsid w:val="0D4516FB"/>
    <w:rsid w:val="0D4B52DA"/>
    <w:rsid w:val="0D4C4154"/>
    <w:rsid w:val="0D5C0997"/>
    <w:rsid w:val="0D6C7323"/>
    <w:rsid w:val="0D72020C"/>
    <w:rsid w:val="0D7551E4"/>
    <w:rsid w:val="0D8561FD"/>
    <w:rsid w:val="0D9664AD"/>
    <w:rsid w:val="0DA8487E"/>
    <w:rsid w:val="0DAF29E0"/>
    <w:rsid w:val="0DBD562E"/>
    <w:rsid w:val="0DCE3E12"/>
    <w:rsid w:val="0DD324C1"/>
    <w:rsid w:val="0DD50FB1"/>
    <w:rsid w:val="0DD5151B"/>
    <w:rsid w:val="0DDA2ECE"/>
    <w:rsid w:val="0DDB6F82"/>
    <w:rsid w:val="0DE117D5"/>
    <w:rsid w:val="0DE72D5F"/>
    <w:rsid w:val="0DEA1C82"/>
    <w:rsid w:val="0DF76499"/>
    <w:rsid w:val="0DFE0732"/>
    <w:rsid w:val="0E033E49"/>
    <w:rsid w:val="0E070D79"/>
    <w:rsid w:val="0E0B52D8"/>
    <w:rsid w:val="0E0C5614"/>
    <w:rsid w:val="0E1157A2"/>
    <w:rsid w:val="0E127E9D"/>
    <w:rsid w:val="0E141A3C"/>
    <w:rsid w:val="0E1E724A"/>
    <w:rsid w:val="0E201927"/>
    <w:rsid w:val="0E2C4314"/>
    <w:rsid w:val="0E2F50DE"/>
    <w:rsid w:val="0E395801"/>
    <w:rsid w:val="0E4338F5"/>
    <w:rsid w:val="0E502D7F"/>
    <w:rsid w:val="0E5A6D39"/>
    <w:rsid w:val="0E666B7E"/>
    <w:rsid w:val="0E6C2C74"/>
    <w:rsid w:val="0E6E7584"/>
    <w:rsid w:val="0E707DF4"/>
    <w:rsid w:val="0E7424CD"/>
    <w:rsid w:val="0E75009B"/>
    <w:rsid w:val="0E757C7E"/>
    <w:rsid w:val="0E822ECB"/>
    <w:rsid w:val="0E825192"/>
    <w:rsid w:val="0E843887"/>
    <w:rsid w:val="0E8C1A16"/>
    <w:rsid w:val="0E946B9D"/>
    <w:rsid w:val="0E955EFB"/>
    <w:rsid w:val="0E967F5E"/>
    <w:rsid w:val="0E99083F"/>
    <w:rsid w:val="0EA87300"/>
    <w:rsid w:val="0EAE4199"/>
    <w:rsid w:val="0EB3562E"/>
    <w:rsid w:val="0EC44794"/>
    <w:rsid w:val="0EDB6F51"/>
    <w:rsid w:val="0EE779A0"/>
    <w:rsid w:val="0EFF5426"/>
    <w:rsid w:val="0F0877AB"/>
    <w:rsid w:val="0F0A6C9B"/>
    <w:rsid w:val="0F142440"/>
    <w:rsid w:val="0F320992"/>
    <w:rsid w:val="0F375B3F"/>
    <w:rsid w:val="0F3B423B"/>
    <w:rsid w:val="0F4E59CF"/>
    <w:rsid w:val="0F5B2917"/>
    <w:rsid w:val="0F6726CA"/>
    <w:rsid w:val="0F6D3DE7"/>
    <w:rsid w:val="0F6D6E59"/>
    <w:rsid w:val="0F7301BE"/>
    <w:rsid w:val="0F755B6E"/>
    <w:rsid w:val="0F8512ED"/>
    <w:rsid w:val="0F87466B"/>
    <w:rsid w:val="0F9A2C11"/>
    <w:rsid w:val="0F9C788B"/>
    <w:rsid w:val="0FA20036"/>
    <w:rsid w:val="0FAB39AF"/>
    <w:rsid w:val="0FB869F7"/>
    <w:rsid w:val="0FCC2104"/>
    <w:rsid w:val="0FD42336"/>
    <w:rsid w:val="0FD9177C"/>
    <w:rsid w:val="10186228"/>
    <w:rsid w:val="10226963"/>
    <w:rsid w:val="10247E5D"/>
    <w:rsid w:val="103C7C64"/>
    <w:rsid w:val="105457EE"/>
    <w:rsid w:val="10590F65"/>
    <w:rsid w:val="105E2884"/>
    <w:rsid w:val="105F002C"/>
    <w:rsid w:val="1064528A"/>
    <w:rsid w:val="10690116"/>
    <w:rsid w:val="106D1C3B"/>
    <w:rsid w:val="10807462"/>
    <w:rsid w:val="108933AA"/>
    <w:rsid w:val="108F3BC6"/>
    <w:rsid w:val="10950E73"/>
    <w:rsid w:val="1096055C"/>
    <w:rsid w:val="10AF2FA4"/>
    <w:rsid w:val="10CD199F"/>
    <w:rsid w:val="10D13664"/>
    <w:rsid w:val="10DA2CD3"/>
    <w:rsid w:val="10E402BF"/>
    <w:rsid w:val="10EA4494"/>
    <w:rsid w:val="10F55D1F"/>
    <w:rsid w:val="10F735BA"/>
    <w:rsid w:val="10FC72CB"/>
    <w:rsid w:val="111334C4"/>
    <w:rsid w:val="11191157"/>
    <w:rsid w:val="111A16A9"/>
    <w:rsid w:val="112540C2"/>
    <w:rsid w:val="115E6502"/>
    <w:rsid w:val="11646B6A"/>
    <w:rsid w:val="11674B6E"/>
    <w:rsid w:val="11680CA1"/>
    <w:rsid w:val="117132A9"/>
    <w:rsid w:val="117E0396"/>
    <w:rsid w:val="11887B0A"/>
    <w:rsid w:val="1191031C"/>
    <w:rsid w:val="11932EC2"/>
    <w:rsid w:val="119377F6"/>
    <w:rsid w:val="119A1938"/>
    <w:rsid w:val="119D27DE"/>
    <w:rsid w:val="11A5136F"/>
    <w:rsid w:val="11A55330"/>
    <w:rsid w:val="11AD4B90"/>
    <w:rsid w:val="11B3066D"/>
    <w:rsid w:val="11B752DA"/>
    <w:rsid w:val="11BA59A1"/>
    <w:rsid w:val="11C0316D"/>
    <w:rsid w:val="11D81A61"/>
    <w:rsid w:val="11D93762"/>
    <w:rsid w:val="11DA7E54"/>
    <w:rsid w:val="11F04057"/>
    <w:rsid w:val="11F36920"/>
    <w:rsid w:val="11F66177"/>
    <w:rsid w:val="1201040F"/>
    <w:rsid w:val="1209612C"/>
    <w:rsid w:val="121F0358"/>
    <w:rsid w:val="12243D94"/>
    <w:rsid w:val="12402DD7"/>
    <w:rsid w:val="1247273E"/>
    <w:rsid w:val="125845EB"/>
    <w:rsid w:val="126468E3"/>
    <w:rsid w:val="126932E4"/>
    <w:rsid w:val="12811209"/>
    <w:rsid w:val="128A414D"/>
    <w:rsid w:val="128B4EE8"/>
    <w:rsid w:val="128E05F3"/>
    <w:rsid w:val="12972007"/>
    <w:rsid w:val="12985C2B"/>
    <w:rsid w:val="12991D9F"/>
    <w:rsid w:val="129F35C7"/>
    <w:rsid w:val="12B00735"/>
    <w:rsid w:val="12B60D08"/>
    <w:rsid w:val="12B652F9"/>
    <w:rsid w:val="12BE4208"/>
    <w:rsid w:val="12CA1DBE"/>
    <w:rsid w:val="12DB377D"/>
    <w:rsid w:val="12E21EE5"/>
    <w:rsid w:val="12E27C5C"/>
    <w:rsid w:val="12EA0012"/>
    <w:rsid w:val="12F47772"/>
    <w:rsid w:val="12FD09CD"/>
    <w:rsid w:val="130A32A7"/>
    <w:rsid w:val="130C2A87"/>
    <w:rsid w:val="13133A08"/>
    <w:rsid w:val="131A77B7"/>
    <w:rsid w:val="131B56AC"/>
    <w:rsid w:val="131D2184"/>
    <w:rsid w:val="131F509A"/>
    <w:rsid w:val="132033CB"/>
    <w:rsid w:val="132E73E4"/>
    <w:rsid w:val="134123D8"/>
    <w:rsid w:val="134656FF"/>
    <w:rsid w:val="13472D3C"/>
    <w:rsid w:val="134A569C"/>
    <w:rsid w:val="13555303"/>
    <w:rsid w:val="13596E79"/>
    <w:rsid w:val="137031C4"/>
    <w:rsid w:val="13742441"/>
    <w:rsid w:val="137557B7"/>
    <w:rsid w:val="13887CFE"/>
    <w:rsid w:val="138C5984"/>
    <w:rsid w:val="13925650"/>
    <w:rsid w:val="139714D4"/>
    <w:rsid w:val="139E33AD"/>
    <w:rsid w:val="13A05A90"/>
    <w:rsid w:val="13C27107"/>
    <w:rsid w:val="13C42FC7"/>
    <w:rsid w:val="13D75424"/>
    <w:rsid w:val="13F7173C"/>
    <w:rsid w:val="14046530"/>
    <w:rsid w:val="141D235A"/>
    <w:rsid w:val="14267AB6"/>
    <w:rsid w:val="14272313"/>
    <w:rsid w:val="14272648"/>
    <w:rsid w:val="142B1FF8"/>
    <w:rsid w:val="143051A9"/>
    <w:rsid w:val="144660F9"/>
    <w:rsid w:val="144E62AD"/>
    <w:rsid w:val="14504FA3"/>
    <w:rsid w:val="14576C91"/>
    <w:rsid w:val="14623399"/>
    <w:rsid w:val="146B4F8F"/>
    <w:rsid w:val="14732966"/>
    <w:rsid w:val="14772C56"/>
    <w:rsid w:val="14793DB3"/>
    <w:rsid w:val="147F7374"/>
    <w:rsid w:val="14905CFA"/>
    <w:rsid w:val="14A523EE"/>
    <w:rsid w:val="14B95CF2"/>
    <w:rsid w:val="14C21639"/>
    <w:rsid w:val="14C95F9E"/>
    <w:rsid w:val="14D814D5"/>
    <w:rsid w:val="14E06AD6"/>
    <w:rsid w:val="14E51B35"/>
    <w:rsid w:val="14E7578E"/>
    <w:rsid w:val="14EB7B67"/>
    <w:rsid w:val="14F40A1D"/>
    <w:rsid w:val="14F92BCF"/>
    <w:rsid w:val="14FA17B8"/>
    <w:rsid w:val="150B6821"/>
    <w:rsid w:val="151A4356"/>
    <w:rsid w:val="15272ED0"/>
    <w:rsid w:val="1537563A"/>
    <w:rsid w:val="154612FB"/>
    <w:rsid w:val="154A6B40"/>
    <w:rsid w:val="156B0867"/>
    <w:rsid w:val="157E1000"/>
    <w:rsid w:val="158A7E3C"/>
    <w:rsid w:val="15B041EC"/>
    <w:rsid w:val="15DA0316"/>
    <w:rsid w:val="15E22DD8"/>
    <w:rsid w:val="15F85309"/>
    <w:rsid w:val="16130431"/>
    <w:rsid w:val="16135539"/>
    <w:rsid w:val="161B60FD"/>
    <w:rsid w:val="16402DBF"/>
    <w:rsid w:val="164B7274"/>
    <w:rsid w:val="1657083D"/>
    <w:rsid w:val="165F0B6D"/>
    <w:rsid w:val="16623256"/>
    <w:rsid w:val="166279AE"/>
    <w:rsid w:val="16667B82"/>
    <w:rsid w:val="166C695F"/>
    <w:rsid w:val="166F1006"/>
    <w:rsid w:val="167657D6"/>
    <w:rsid w:val="16777984"/>
    <w:rsid w:val="167D0107"/>
    <w:rsid w:val="167F075C"/>
    <w:rsid w:val="16882112"/>
    <w:rsid w:val="168C1332"/>
    <w:rsid w:val="16980835"/>
    <w:rsid w:val="16C543AB"/>
    <w:rsid w:val="16CD092F"/>
    <w:rsid w:val="16CD4065"/>
    <w:rsid w:val="16D965BB"/>
    <w:rsid w:val="16E05224"/>
    <w:rsid w:val="16EA5EAD"/>
    <w:rsid w:val="16EF6C1D"/>
    <w:rsid w:val="16F42CB1"/>
    <w:rsid w:val="16F472BD"/>
    <w:rsid w:val="1702607F"/>
    <w:rsid w:val="17167760"/>
    <w:rsid w:val="1720116E"/>
    <w:rsid w:val="17373AF3"/>
    <w:rsid w:val="173D6F37"/>
    <w:rsid w:val="174A038C"/>
    <w:rsid w:val="175A5963"/>
    <w:rsid w:val="176969B4"/>
    <w:rsid w:val="178A7A9C"/>
    <w:rsid w:val="17916C2C"/>
    <w:rsid w:val="17934F7F"/>
    <w:rsid w:val="179A58F8"/>
    <w:rsid w:val="17AB57E7"/>
    <w:rsid w:val="17AD46BA"/>
    <w:rsid w:val="17B5476B"/>
    <w:rsid w:val="17E7348C"/>
    <w:rsid w:val="180A1EBF"/>
    <w:rsid w:val="1827788E"/>
    <w:rsid w:val="18465B8A"/>
    <w:rsid w:val="184F6F0E"/>
    <w:rsid w:val="18572E05"/>
    <w:rsid w:val="18680224"/>
    <w:rsid w:val="186D7406"/>
    <w:rsid w:val="18773DDC"/>
    <w:rsid w:val="18875459"/>
    <w:rsid w:val="188D167B"/>
    <w:rsid w:val="189001D9"/>
    <w:rsid w:val="1890285D"/>
    <w:rsid w:val="18926F85"/>
    <w:rsid w:val="189625A0"/>
    <w:rsid w:val="189E1ED0"/>
    <w:rsid w:val="18B80279"/>
    <w:rsid w:val="18C53AA8"/>
    <w:rsid w:val="18C80733"/>
    <w:rsid w:val="18C817D8"/>
    <w:rsid w:val="18DF6CD1"/>
    <w:rsid w:val="18E44898"/>
    <w:rsid w:val="18ED06DD"/>
    <w:rsid w:val="18F51BAE"/>
    <w:rsid w:val="18F97058"/>
    <w:rsid w:val="190F44DF"/>
    <w:rsid w:val="191434A4"/>
    <w:rsid w:val="193948CC"/>
    <w:rsid w:val="19425ADF"/>
    <w:rsid w:val="19522612"/>
    <w:rsid w:val="195C1FB0"/>
    <w:rsid w:val="19600BA1"/>
    <w:rsid w:val="19602DFC"/>
    <w:rsid w:val="19684FC0"/>
    <w:rsid w:val="197764CB"/>
    <w:rsid w:val="197A4C59"/>
    <w:rsid w:val="199054E5"/>
    <w:rsid w:val="19905D57"/>
    <w:rsid w:val="19CE5D6B"/>
    <w:rsid w:val="19D07BAE"/>
    <w:rsid w:val="19D966D5"/>
    <w:rsid w:val="19DD7EBF"/>
    <w:rsid w:val="1A043918"/>
    <w:rsid w:val="1A23159D"/>
    <w:rsid w:val="1A32079E"/>
    <w:rsid w:val="1A3A41C6"/>
    <w:rsid w:val="1A410FF3"/>
    <w:rsid w:val="1A435C0E"/>
    <w:rsid w:val="1A4763ED"/>
    <w:rsid w:val="1A4B1242"/>
    <w:rsid w:val="1A5A3F9C"/>
    <w:rsid w:val="1A6021F2"/>
    <w:rsid w:val="1A6A0C22"/>
    <w:rsid w:val="1A7D693D"/>
    <w:rsid w:val="1A833C33"/>
    <w:rsid w:val="1A863B04"/>
    <w:rsid w:val="1A8938A8"/>
    <w:rsid w:val="1A9A4F6F"/>
    <w:rsid w:val="1AAE1E87"/>
    <w:rsid w:val="1AB34E74"/>
    <w:rsid w:val="1ABC68EF"/>
    <w:rsid w:val="1ABD19F8"/>
    <w:rsid w:val="1AC317B7"/>
    <w:rsid w:val="1AC61461"/>
    <w:rsid w:val="1AC83176"/>
    <w:rsid w:val="1ADD0ECF"/>
    <w:rsid w:val="1ADE7C19"/>
    <w:rsid w:val="1AE27BA4"/>
    <w:rsid w:val="1AF13655"/>
    <w:rsid w:val="1AF153D1"/>
    <w:rsid w:val="1B04118C"/>
    <w:rsid w:val="1B0770DF"/>
    <w:rsid w:val="1B16357D"/>
    <w:rsid w:val="1B1E3CE5"/>
    <w:rsid w:val="1B281824"/>
    <w:rsid w:val="1B295BAC"/>
    <w:rsid w:val="1B2F0D44"/>
    <w:rsid w:val="1B3576F2"/>
    <w:rsid w:val="1B366B9E"/>
    <w:rsid w:val="1B682D59"/>
    <w:rsid w:val="1B7028AB"/>
    <w:rsid w:val="1B7C1D82"/>
    <w:rsid w:val="1B7F7315"/>
    <w:rsid w:val="1BB4046D"/>
    <w:rsid w:val="1BB662F8"/>
    <w:rsid w:val="1BDC2542"/>
    <w:rsid w:val="1BE04B40"/>
    <w:rsid w:val="1BFB08E9"/>
    <w:rsid w:val="1C1C5814"/>
    <w:rsid w:val="1C1D0291"/>
    <w:rsid w:val="1C210171"/>
    <w:rsid w:val="1C4F4592"/>
    <w:rsid w:val="1C53569B"/>
    <w:rsid w:val="1C6F3C5B"/>
    <w:rsid w:val="1C810838"/>
    <w:rsid w:val="1C8E310B"/>
    <w:rsid w:val="1C9034B0"/>
    <w:rsid w:val="1CA83E2B"/>
    <w:rsid w:val="1CAA02E1"/>
    <w:rsid w:val="1CB8052B"/>
    <w:rsid w:val="1CC54F89"/>
    <w:rsid w:val="1CCC476B"/>
    <w:rsid w:val="1CCF2FCD"/>
    <w:rsid w:val="1CE656B5"/>
    <w:rsid w:val="1CED5E7D"/>
    <w:rsid w:val="1CF01CE0"/>
    <w:rsid w:val="1CF9196A"/>
    <w:rsid w:val="1D130EBC"/>
    <w:rsid w:val="1D1B1FEF"/>
    <w:rsid w:val="1D2B3440"/>
    <w:rsid w:val="1D2F56D4"/>
    <w:rsid w:val="1D4D025D"/>
    <w:rsid w:val="1D5440C3"/>
    <w:rsid w:val="1D57229C"/>
    <w:rsid w:val="1D5F7A50"/>
    <w:rsid w:val="1D886357"/>
    <w:rsid w:val="1D8973D1"/>
    <w:rsid w:val="1D8F272B"/>
    <w:rsid w:val="1D907807"/>
    <w:rsid w:val="1D993542"/>
    <w:rsid w:val="1DAC4B07"/>
    <w:rsid w:val="1DB13924"/>
    <w:rsid w:val="1DB606C7"/>
    <w:rsid w:val="1DBF0E17"/>
    <w:rsid w:val="1DD93958"/>
    <w:rsid w:val="1DDE5900"/>
    <w:rsid w:val="1DDF3A4F"/>
    <w:rsid w:val="1DE10B65"/>
    <w:rsid w:val="1DE70301"/>
    <w:rsid w:val="1DFA1CF1"/>
    <w:rsid w:val="1E0B4F54"/>
    <w:rsid w:val="1E142D6C"/>
    <w:rsid w:val="1E2441F3"/>
    <w:rsid w:val="1E2924D3"/>
    <w:rsid w:val="1E2B51D7"/>
    <w:rsid w:val="1E3B3B04"/>
    <w:rsid w:val="1E471894"/>
    <w:rsid w:val="1E4F2BE2"/>
    <w:rsid w:val="1E516B23"/>
    <w:rsid w:val="1E5752BF"/>
    <w:rsid w:val="1E633EB7"/>
    <w:rsid w:val="1E674185"/>
    <w:rsid w:val="1E6D1615"/>
    <w:rsid w:val="1E6E5358"/>
    <w:rsid w:val="1E8239C1"/>
    <w:rsid w:val="1E827BE5"/>
    <w:rsid w:val="1E852CBE"/>
    <w:rsid w:val="1E867A5E"/>
    <w:rsid w:val="1E9A3139"/>
    <w:rsid w:val="1EA374F5"/>
    <w:rsid w:val="1EA55877"/>
    <w:rsid w:val="1EB61594"/>
    <w:rsid w:val="1ED01228"/>
    <w:rsid w:val="1EEB237D"/>
    <w:rsid w:val="1F0C6E92"/>
    <w:rsid w:val="1F2B6A33"/>
    <w:rsid w:val="1F2F3386"/>
    <w:rsid w:val="1F412873"/>
    <w:rsid w:val="1F5B6E8E"/>
    <w:rsid w:val="1F7631DD"/>
    <w:rsid w:val="1F775113"/>
    <w:rsid w:val="1F77512D"/>
    <w:rsid w:val="1F804910"/>
    <w:rsid w:val="1F8079B0"/>
    <w:rsid w:val="1F8253DA"/>
    <w:rsid w:val="1F9630EC"/>
    <w:rsid w:val="1F982AA2"/>
    <w:rsid w:val="1FB07D34"/>
    <w:rsid w:val="1FCE7CCC"/>
    <w:rsid w:val="1FE52A38"/>
    <w:rsid w:val="1FE9206C"/>
    <w:rsid w:val="200020C2"/>
    <w:rsid w:val="202130CB"/>
    <w:rsid w:val="202F1E92"/>
    <w:rsid w:val="202F6377"/>
    <w:rsid w:val="203C6DD0"/>
    <w:rsid w:val="20431881"/>
    <w:rsid w:val="204F5F0C"/>
    <w:rsid w:val="20652312"/>
    <w:rsid w:val="20667729"/>
    <w:rsid w:val="2069656C"/>
    <w:rsid w:val="206A50AB"/>
    <w:rsid w:val="209B5BC6"/>
    <w:rsid w:val="20A2649F"/>
    <w:rsid w:val="20A6684E"/>
    <w:rsid w:val="20AB2051"/>
    <w:rsid w:val="20B14033"/>
    <w:rsid w:val="20BD068F"/>
    <w:rsid w:val="20CC7D25"/>
    <w:rsid w:val="20D739CB"/>
    <w:rsid w:val="20F67C66"/>
    <w:rsid w:val="21065B6C"/>
    <w:rsid w:val="210C6C3D"/>
    <w:rsid w:val="21142407"/>
    <w:rsid w:val="211C187D"/>
    <w:rsid w:val="211F7DFF"/>
    <w:rsid w:val="21303282"/>
    <w:rsid w:val="21356F4C"/>
    <w:rsid w:val="213C41F8"/>
    <w:rsid w:val="21444C0C"/>
    <w:rsid w:val="21474381"/>
    <w:rsid w:val="215070F8"/>
    <w:rsid w:val="216768A4"/>
    <w:rsid w:val="21677480"/>
    <w:rsid w:val="216B13EF"/>
    <w:rsid w:val="216E611C"/>
    <w:rsid w:val="21706090"/>
    <w:rsid w:val="21750595"/>
    <w:rsid w:val="21761697"/>
    <w:rsid w:val="21782CC5"/>
    <w:rsid w:val="2194083E"/>
    <w:rsid w:val="21942F63"/>
    <w:rsid w:val="219B5A59"/>
    <w:rsid w:val="21A513BE"/>
    <w:rsid w:val="21D00B6E"/>
    <w:rsid w:val="21D566D1"/>
    <w:rsid w:val="21DF2DD5"/>
    <w:rsid w:val="21EC72DA"/>
    <w:rsid w:val="22150F68"/>
    <w:rsid w:val="221C470F"/>
    <w:rsid w:val="221E6420"/>
    <w:rsid w:val="222D5CBB"/>
    <w:rsid w:val="222F344A"/>
    <w:rsid w:val="222F7CD8"/>
    <w:rsid w:val="223B1E3D"/>
    <w:rsid w:val="224C1661"/>
    <w:rsid w:val="22784CD7"/>
    <w:rsid w:val="227E55F7"/>
    <w:rsid w:val="228D17BE"/>
    <w:rsid w:val="228D3E20"/>
    <w:rsid w:val="22A065A0"/>
    <w:rsid w:val="22A1383B"/>
    <w:rsid w:val="22A55BD0"/>
    <w:rsid w:val="22B352BB"/>
    <w:rsid w:val="22B77951"/>
    <w:rsid w:val="22B91EA2"/>
    <w:rsid w:val="22BB6D95"/>
    <w:rsid w:val="22BB7D9A"/>
    <w:rsid w:val="22BD7401"/>
    <w:rsid w:val="22E1153F"/>
    <w:rsid w:val="22E86C2F"/>
    <w:rsid w:val="22F6227C"/>
    <w:rsid w:val="230C63A1"/>
    <w:rsid w:val="230D2C3B"/>
    <w:rsid w:val="23153330"/>
    <w:rsid w:val="231F723B"/>
    <w:rsid w:val="232116CC"/>
    <w:rsid w:val="2328165E"/>
    <w:rsid w:val="23350051"/>
    <w:rsid w:val="235E773A"/>
    <w:rsid w:val="235F2EB1"/>
    <w:rsid w:val="23621286"/>
    <w:rsid w:val="236B470E"/>
    <w:rsid w:val="23732F9A"/>
    <w:rsid w:val="238B081B"/>
    <w:rsid w:val="23942E8F"/>
    <w:rsid w:val="239F65A5"/>
    <w:rsid w:val="23A16043"/>
    <w:rsid w:val="23A1677F"/>
    <w:rsid w:val="23A8685B"/>
    <w:rsid w:val="23B70AFD"/>
    <w:rsid w:val="23C33026"/>
    <w:rsid w:val="23D627AD"/>
    <w:rsid w:val="23DC4FF5"/>
    <w:rsid w:val="23E622CC"/>
    <w:rsid w:val="23E82A94"/>
    <w:rsid w:val="240003D2"/>
    <w:rsid w:val="240371BF"/>
    <w:rsid w:val="240B77FD"/>
    <w:rsid w:val="24142E0A"/>
    <w:rsid w:val="24184FD2"/>
    <w:rsid w:val="24272C0B"/>
    <w:rsid w:val="242A6269"/>
    <w:rsid w:val="24306A37"/>
    <w:rsid w:val="24372E95"/>
    <w:rsid w:val="24425348"/>
    <w:rsid w:val="2446620E"/>
    <w:rsid w:val="244F123B"/>
    <w:rsid w:val="245A0E39"/>
    <w:rsid w:val="2461576B"/>
    <w:rsid w:val="246B671F"/>
    <w:rsid w:val="24806B66"/>
    <w:rsid w:val="248570BB"/>
    <w:rsid w:val="24887957"/>
    <w:rsid w:val="24AC1134"/>
    <w:rsid w:val="24B8719A"/>
    <w:rsid w:val="24BC313B"/>
    <w:rsid w:val="24D001DA"/>
    <w:rsid w:val="24E55543"/>
    <w:rsid w:val="24F00993"/>
    <w:rsid w:val="24F71E26"/>
    <w:rsid w:val="24FB5562"/>
    <w:rsid w:val="24FC4CA9"/>
    <w:rsid w:val="25040A82"/>
    <w:rsid w:val="250B787D"/>
    <w:rsid w:val="2514778E"/>
    <w:rsid w:val="251A395A"/>
    <w:rsid w:val="251E5466"/>
    <w:rsid w:val="253167BD"/>
    <w:rsid w:val="25402C55"/>
    <w:rsid w:val="254124DD"/>
    <w:rsid w:val="25493F21"/>
    <w:rsid w:val="254A5DEC"/>
    <w:rsid w:val="254D6C9E"/>
    <w:rsid w:val="254E2265"/>
    <w:rsid w:val="25512E28"/>
    <w:rsid w:val="25575764"/>
    <w:rsid w:val="25830509"/>
    <w:rsid w:val="259D2EB7"/>
    <w:rsid w:val="25A34823"/>
    <w:rsid w:val="25CE3136"/>
    <w:rsid w:val="25ED3E83"/>
    <w:rsid w:val="25F01042"/>
    <w:rsid w:val="262B47D3"/>
    <w:rsid w:val="26371E0B"/>
    <w:rsid w:val="26434A6C"/>
    <w:rsid w:val="26466C92"/>
    <w:rsid w:val="264777C4"/>
    <w:rsid w:val="264A1709"/>
    <w:rsid w:val="266816B5"/>
    <w:rsid w:val="26781AEB"/>
    <w:rsid w:val="268C03D6"/>
    <w:rsid w:val="268D4DED"/>
    <w:rsid w:val="26942E58"/>
    <w:rsid w:val="26A152DC"/>
    <w:rsid w:val="26AD54F0"/>
    <w:rsid w:val="26AF1236"/>
    <w:rsid w:val="26B808E9"/>
    <w:rsid w:val="26B943E5"/>
    <w:rsid w:val="26C028BE"/>
    <w:rsid w:val="26D42D5C"/>
    <w:rsid w:val="26E15F7F"/>
    <w:rsid w:val="26F164AE"/>
    <w:rsid w:val="26FA4406"/>
    <w:rsid w:val="26FB3FA8"/>
    <w:rsid w:val="26FC65F0"/>
    <w:rsid w:val="27074547"/>
    <w:rsid w:val="2725411E"/>
    <w:rsid w:val="27294B2A"/>
    <w:rsid w:val="272E2CBE"/>
    <w:rsid w:val="273431A8"/>
    <w:rsid w:val="273760FE"/>
    <w:rsid w:val="27387A39"/>
    <w:rsid w:val="27397948"/>
    <w:rsid w:val="273F2F21"/>
    <w:rsid w:val="27611897"/>
    <w:rsid w:val="27627622"/>
    <w:rsid w:val="27670388"/>
    <w:rsid w:val="2770401F"/>
    <w:rsid w:val="277510EC"/>
    <w:rsid w:val="277B2F6F"/>
    <w:rsid w:val="278222D1"/>
    <w:rsid w:val="2784160F"/>
    <w:rsid w:val="279E27DF"/>
    <w:rsid w:val="27B869DF"/>
    <w:rsid w:val="27D1601D"/>
    <w:rsid w:val="27D510E9"/>
    <w:rsid w:val="27D8711F"/>
    <w:rsid w:val="27E14C62"/>
    <w:rsid w:val="27FB7D17"/>
    <w:rsid w:val="27FF252D"/>
    <w:rsid w:val="28070100"/>
    <w:rsid w:val="28146755"/>
    <w:rsid w:val="281A4C11"/>
    <w:rsid w:val="28250799"/>
    <w:rsid w:val="28281A14"/>
    <w:rsid w:val="282A00FD"/>
    <w:rsid w:val="28397FEF"/>
    <w:rsid w:val="28476C29"/>
    <w:rsid w:val="285406AA"/>
    <w:rsid w:val="285831C3"/>
    <w:rsid w:val="28712C26"/>
    <w:rsid w:val="288A69A2"/>
    <w:rsid w:val="28A13984"/>
    <w:rsid w:val="28B23200"/>
    <w:rsid w:val="28B522F5"/>
    <w:rsid w:val="28C202EB"/>
    <w:rsid w:val="28D5006B"/>
    <w:rsid w:val="28D54EEF"/>
    <w:rsid w:val="28E40CC6"/>
    <w:rsid w:val="28E866AE"/>
    <w:rsid w:val="28E970A7"/>
    <w:rsid w:val="28F31719"/>
    <w:rsid w:val="28F42702"/>
    <w:rsid w:val="28FA12B9"/>
    <w:rsid w:val="28FA553A"/>
    <w:rsid w:val="290F7EB3"/>
    <w:rsid w:val="29124447"/>
    <w:rsid w:val="291A6205"/>
    <w:rsid w:val="29207901"/>
    <w:rsid w:val="29334B7F"/>
    <w:rsid w:val="294F6FDF"/>
    <w:rsid w:val="29573277"/>
    <w:rsid w:val="29592681"/>
    <w:rsid w:val="29637C7F"/>
    <w:rsid w:val="29642412"/>
    <w:rsid w:val="29832140"/>
    <w:rsid w:val="299429B6"/>
    <w:rsid w:val="29944BE2"/>
    <w:rsid w:val="299541DE"/>
    <w:rsid w:val="29A66B64"/>
    <w:rsid w:val="29AD051F"/>
    <w:rsid w:val="29BF7391"/>
    <w:rsid w:val="29D87C0B"/>
    <w:rsid w:val="2A010900"/>
    <w:rsid w:val="2A1722B8"/>
    <w:rsid w:val="2A265E68"/>
    <w:rsid w:val="2A2B7983"/>
    <w:rsid w:val="2A400276"/>
    <w:rsid w:val="2A490C23"/>
    <w:rsid w:val="2A5304C3"/>
    <w:rsid w:val="2A570E82"/>
    <w:rsid w:val="2A636C92"/>
    <w:rsid w:val="2A646EE3"/>
    <w:rsid w:val="2A652303"/>
    <w:rsid w:val="2A7258ED"/>
    <w:rsid w:val="2A7F211C"/>
    <w:rsid w:val="2A7F2622"/>
    <w:rsid w:val="2A980CFD"/>
    <w:rsid w:val="2A9C01FA"/>
    <w:rsid w:val="2A9E4A94"/>
    <w:rsid w:val="2AB549BA"/>
    <w:rsid w:val="2AC416D1"/>
    <w:rsid w:val="2AC53592"/>
    <w:rsid w:val="2AC70847"/>
    <w:rsid w:val="2ACC6EA7"/>
    <w:rsid w:val="2AD172C3"/>
    <w:rsid w:val="2AD33658"/>
    <w:rsid w:val="2AD6020F"/>
    <w:rsid w:val="2AD6307F"/>
    <w:rsid w:val="2AD8103F"/>
    <w:rsid w:val="2AFE401A"/>
    <w:rsid w:val="2AFF0C3E"/>
    <w:rsid w:val="2B060601"/>
    <w:rsid w:val="2B08330F"/>
    <w:rsid w:val="2B0848CB"/>
    <w:rsid w:val="2B0C2B14"/>
    <w:rsid w:val="2B1B41F1"/>
    <w:rsid w:val="2B1B7AEE"/>
    <w:rsid w:val="2B2E5302"/>
    <w:rsid w:val="2B34201E"/>
    <w:rsid w:val="2B346EB7"/>
    <w:rsid w:val="2B3846E7"/>
    <w:rsid w:val="2B385BE8"/>
    <w:rsid w:val="2B3D4449"/>
    <w:rsid w:val="2B595FE4"/>
    <w:rsid w:val="2B66768E"/>
    <w:rsid w:val="2B6E1012"/>
    <w:rsid w:val="2B883299"/>
    <w:rsid w:val="2B911DB3"/>
    <w:rsid w:val="2B9359CB"/>
    <w:rsid w:val="2BA61DA8"/>
    <w:rsid w:val="2BA95415"/>
    <w:rsid w:val="2BAB03CC"/>
    <w:rsid w:val="2BB90C96"/>
    <w:rsid w:val="2BBF2B64"/>
    <w:rsid w:val="2BCC3840"/>
    <w:rsid w:val="2BD2338D"/>
    <w:rsid w:val="2BD60F49"/>
    <w:rsid w:val="2BDA0DC6"/>
    <w:rsid w:val="2BEF0464"/>
    <w:rsid w:val="2C0D61FA"/>
    <w:rsid w:val="2C212742"/>
    <w:rsid w:val="2C213E02"/>
    <w:rsid w:val="2C4F3269"/>
    <w:rsid w:val="2C5A6318"/>
    <w:rsid w:val="2C727253"/>
    <w:rsid w:val="2C730659"/>
    <w:rsid w:val="2C8259B2"/>
    <w:rsid w:val="2C900538"/>
    <w:rsid w:val="2CAB43BE"/>
    <w:rsid w:val="2CB4472E"/>
    <w:rsid w:val="2CBC5824"/>
    <w:rsid w:val="2CBD46E2"/>
    <w:rsid w:val="2CC545BD"/>
    <w:rsid w:val="2CCB338B"/>
    <w:rsid w:val="2CE86A1A"/>
    <w:rsid w:val="2CF31CE6"/>
    <w:rsid w:val="2D017354"/>
    <w:rsid w:val="2D276C94"/>
    <w:rsid w:val="2D373FD4"/>
    <w:rsid w:val="2D432197"/>
    <w:rsid w:val="2D4605E2"/>
    <w:rsid w:val="2D4C796C"/>
    <w:rsid w:val="2D506487"/>
    <w:rsid w:val="2D52194B"/>
    <w:rsid w:val="2D716E7D"/>
    <w:rsid w:val="2D83738F"/>
    <w:rsid w:val="2D8B3A25"/>
    <w:rsid w:val="2D8D34A8"/>
    <w:rsid w:val="2DB04010"/>
    <w:rsid w:val="2DB506B9"/>
    <w:rsid w:val="2DC07F33"/>
    <w:rsid w:val="2DC26EA5"/>
    <w:rsid w:val="2DC27DC4"/>
    <w:rsid w:val="2DC646CB"/>
    <w:rsid w:val="2DCC5E11"/>
    <w:rsid w:val="2DCF75F2"/>
    <w:rsid w:val="2DFF1837"/>
    <w:rsid w:val="2E023699"/>
    <w:rsid w:val="2E1B6949"/>
    <w:rsid w:val="2E2327DC"/>
    <w:rsid w:val="2E25221E"/>
    <w:rsid w:val="2E2B365F"/>
    <w:rsid w:val="2E2F3E4E"/>
    <w:rsid w:val="2E302FE8"/>
    <w:rsid w:val="2E33515A"/>
    <w:rsid w:val="2E3C5223"/>
    <w:rsid w:val="2E401BD6"/>
    <w:rsid w:val="2E4C4B57"/>
    <w:rsid w:val="2E4E4236"/>
    <w:rsid w:val="2E4F2D80"/>
    <w:rsid w:val="2E753086"/>
    <w:rsid w:val="2E9A3535"/>
    <w:rsid w:val="2EBB7740"/>
    <w:rsid w:val="2EBC661D"/>
    <w:rsid w:val="2EC81FCC"/>
    <w:rsid w:val="2ECC1F31"/>
    <w:rsid w:val="2ECF482C"/>
    <w:rsid w:val="2EEC6FDB"/>
    <w:rsid w:val="2EF43BF7"/>
    <w:rsid w:val="2EF6658D"/>
    <w:rsid w:val="2EFA64B1"/>
    <w:rsid w:val="2F0A4E02"/>
    <w:rsid w:val="2F426AD9"/>
    <w:rsid w:val="2F4C57A6"/>
    <w:rsid w:val="2F556CE7"/>
    <w:rsid w:val="2F561743"/>
    <w:rsid w:val="2F624988"/>
    <w:rsid w:val="2F6B0C3F"/>
    <w:rsid w:val="2F6B7231"/>
    <w:rsid w:val="2F7230C2"/>
    <w:rsid w:val="2F7624AF"/>
    <w:rsid w:val="2F7B0416"/>
    <w:rsid w:val="2F7F0F02"/>
    <w:rsid w:val="2F83421C"/>
    <w:rsid w:val="2FA11926"/>
    <w:rsid w:val="2FA84B5A"/>
    <w:rsid w:val="2FB5438E"/>
    <w:rsid w:val="2FC85102"/>
    <w:rsid w:val="2FCE754E"/>
    <w:rsid w:val="2FD94CD9"/>
    <w:rsid w:val="2FDA2C7E"/>
    <w:rsid w:val="2FF61E39"/>
    <w:rsid w:val="2FF91BE2"/>
    <w:rsid w:val="2FFF689E"/>
    <w:rsid w:val="30013A3A"/>
    <w:rsid w:val="30027B65"/>
    <w:rsid w:val="3014476B"/>
    <w:rsid w:val="30237C97"/>
    <w:rsid w:val="30611575"/>
    <w:rsid w:val="306C2025"/>
    <w:rsid w:val="307C5DD0"/>
    <w:rsid w:val="3082524F"/>
    <w:rsid w:val="3086175E"/>
    <w:rsid w:val="308A7D6B"/>
    <w:rsid w:val="308E1FFF"/>
    <w:rsid w:val="309138B6"/>
    <w:rsid w:val="309349BB"/>
    <w:rsid w:val="309B4E81"/>
    <w:rsid w:val="309F13B4"/>
    <w:rsid w:val="30AA5C23"/>
    <w:rsid w:val="30B552CA"/>
    <w:rsid w:val="30BF16F6"/>
    <w:rsid w:val="30C6297E"/>
    <w:rsid w:val="30D448FF"/>
    <w:rsid w:val="30D718E8"/>
    <w:rsid w:val="30DC26C6"/>
    <w:rsid w:val="30EC28E1"/>
    <w:rsid w:val="30F21143"/>
    <w:rsid w:val="30F75778"/>
    <w:rsid w:val="30F943FC"/>
    <w:rsid w:val="30F974C0"/>
    <w:rsid w:val="30FC3327"/>
    <w:rsid w:val="31107AAD"/>
    <w:rsid w:val="31126EF7"/>
    <w:rsid w:val="31161632"/>
    <w:rsid w:val="3121282C"/>
    <w:rsid w:val="313041A5"/>
    <w:rsid w:val="314E4390"/>
    <w:rsid w:val="31536800"/>
    <w:rsid w:val="3159598C"/>
    <w:rsid w:val="316A4E7D"/>
    <w:rsid w:val="316D6338"/>
    <w:rsid w:val="316F22CD"/>
    <w:rsid w:val="31762035"/>
    <w:rsid w:val="317A6B21"/>
    <w:rsid w:val="31804A3F"/>
    <w:rsid w:val="318125FB"/>
    <w:rsid w:val="31837912"/>
    <w:rsid w:val="31915DC1"/>
    <w:rsid w:val="31930E2F"/>
    <w:rsid w:val="31B03771"/>
    <w:rsid w:val="31BB1B84"/>
    <w:rsid w:val="31C0353B"/>
    <w:rsid w:val="31C32ED1"/>
    <w:rsid w:val="31C678D6"/>
    <w:rsid w:val="31D04263"/>
    <w:rsid w:val="31D725A1"/>
    <w:rsid w:val="31D93C38"/>
    <w:rsid w:val="31DF3DD2"/>
    <w:rsid w:val="31E253F5"/>
    <w:rsid w:val="31ED1407"/>
    <w:rsid w:val="32067D0D"/>
    <w:rsid w:val="320E2057"/>
    <w:rsid w:val="32150644"/>
    <w:rsid w:val="321939A2"/>
    <w:rsid w:val="322379CC"/>
    <w:rsid w:val="32312117"/>
    <w:rsid w:val="323E27B2"/>
    <w:rsid w:val="324A6F26"/>
    <w:rsid w:val="32562730"/>
    <w:rsid w:val="325B1C15"/>
    <w:rsid w:val="32700541"/>
    <w:rsid w:val="32745434"/>
    <w:rsid w:val="32762301"/>
    <w:rsid w:val="32810E59"/>
    <w:rsid w:val="32847ED8"/>
    <w:rsid w:val="32884D71"/>
    <w:rsid w:val="328B7ECB"/>
    <w:rsid w:val="328F173A"/>
    <w:rsid w:val="32984B2A"/>
    <w:rsid w:val="32AB16FA"/>
    <w:rsid w:val="32C23431"/>
    <w:rsid w:val="32D85F61"/>
    <w:rsid w:val="32E823A6"/>
    <w:rsid w:val="32EB2E71"/>
    <w:rsid w:val="32F7196F"/>
    <w:rsid w:val="32F90C77"/>
    <w:rsid w:val="33080A85"/>
    <w:rsid w:val="33095514"/>
    <w:rsid w:val="331D6505"/>
    <w:rsid w:val="33292629"/>
    <w:rsid w:val="33376C6E"/>
    <w:rsid w:val="33555FD7"/>
    <w:rsid w:val="33570E83"/>
    <w:rsid w:val="336550A9"/>
    <w:rsid w:val="33890BEA"/>
    <w:rsid w:val="338C7AE2"/>
    <w:rsid w:val="33900BC6"/>
    <w:rsid w:val="33903C9A"/>
    <w:rsid w:val="339C27B1"/>
    <w:rsid w:val="33B23603"/>
    <w:rsid w:val="33D23E86"/>
    <w:rsid w:val="33E55067"/>
    <w:rsid w:val="33E856EC"/>
    <w:rsid w:val="340004E4"/>
    <w:rsid w:val="340623CF"/>
    <w:rsid w:val="34084664"/>
    <w:rsid w:val="34182489"/>
    <w:rsid w:val="341D1526"/>
    <w:rsid w:val="3422615C"/>
    <w:rsid w:val="342418E5"/>
    <w:rsid w:val="342E7B6B"/>
    <w:rsid w:val="34335BF4"/>
    <w:rsid w:val="34342595"/>
    <w:rsid w:val="34383D80"/>
    <w:rsid w:val="343E4D55"/>
    <w:rsid w:val="34420E2C"/>
    <w:rsid w:val="34575F47"/>
    <w:rsid w:val="345D0ED7"/>
    <w:rsid w:val="345E4464"/>
    <w:rsid w:val="345F5093"/>
    <w:rsid w:val="34724107"/>
    <w:rsid w:val="34724FD2"/>
    <w:rsid w:val="34727CE8"/>
    <w:rsid w:val="34822106"/>
    <w:rsid w:val="348424B3"/>
    <w:rsid w:val="348A3DAD"/>
    <w:rsid w:val="34912769"/>
    <w:rsid w:val="349135BD"/>
    <w:rsid w:val="34AD5E57"/>
    <w:rsid w:val="34B53751"/>
    <w:rsid w:val="34BC27A3"/>
    <w:rsid w:val="34D35B29"/>
    <w:rsid w:val="34D84CBF"/>
    <w:rsid w:val="34E642AA"/>
    <w:rsid w:val="34F534A2"/>
    <w:rsid w:val="34F9080D"/>
    <w:rsid w:val="35042303"/>
    <w:rsid w:val="35100089"/>
    <w:rsid w:val="351F1C71"/>
    <w:rsid w:val="353318F0"/>
    <w:rsid w:val="35332985"/>
    <w:rsid w:val="35364247"/>
    <w:rsid w:val="35395EC6"/>
    <w:rsid w:val="35550659"/>
    <w:rsid w:val="35553298"/>
    <w:rsid w:val="357B2AB3"/>
    <w:rsid w:val="357B358D"/>
    <w:rsid w:val="358766B3"/>
    <w:rsid w:val="35964E56"/>
    <w:rsid w:val="359E4E07"/>
    <w:rsid w:val="359E4F8E"/>
    <w:rsid w:val="359F5FF9"/>
    <w:rsid w:val="35B241D2"/>
    <w:rsid w:val="35BF4D6B"/>
    <w:rsid w:val="35CA714A"/>
    <w:rsid w:val="35CE6A9A"/>
    <w:rsid w:val="35CF76EF"/>
    <w:rsid w:val="35E22630"/>
    <w:rsid w:val="35E24EBF"/>
    <w:rsid w:val="35F0571E"/>
    <w:rsid w:val="35FD3A61"/>
    <w:rsid w:val="362C50A4"/>
    <w:rsid w:val="362F10F5"/>
    <w:rsid w:val="36312C27"/>
    <w:rsid w:val="36343944"/>
    <w:rsid w:val="36406387"/>
    <w:rsid w:val="364072D7"/>
    <w:rsid w:val="36457307"/>
    <w:rsid w:val="3648073B"/>
    <w:rsid w:val="365A65FE"/>
    <w:rsid w:val="365B7FFB"/>
    <w:rsid w:val="36642028"/>
    <w:rsid w:val="36663F40"/>
    <w:rsid w:val="366F60D5"/>
    <w:rsid w:val="36741F62"/>
    <w:rsid w:val="367A7949"/>
    <w:rsid w:val="367F56FD"/>
    <w:rsid w:val="36873DE4"/>
    <w:rsid w:val="368F44FD"/>
    <w:rsid w:val="36957674"/>
    <w:rsid w:val="369A354B"/>
    <w:rsid w:val="369F1544"/>
    <w:rsid w:val="36AA42FD"/>
    <w:rsid w:val="36AA5A85"/>
    <w:rsid w:val="36BC3FDE"/>
    <w:rsid w:val="36C75107"/>
    <w:rsid w:val="36C84869"/>
    <w:rsid w:val="370F147C"/>
    <w:rsid w:val="371123FC"/>
    <w:rsid w:val="371C08D1"/>
    <w:rsid w:val="372448D3"/>
    <w:rsid w:val="37314FD8"/>
    <w:rsid w:val="37361907"/>
    <w:rsid w:val="373A0835"/>
    <w:rsid w:val="37523AE2"/>
    <w:rsid w:val="37524726"/>
    <w:rsid w:val="375337D0"/>
    <w:rsid w:val="37550BF4"/>
    <w:rsid w:val="37616F93"/>
    <w:rsid w:val="377529CD"/>
    <w:rsid w:val="377D5698"/>
    <w:rsid w:val="37855302"/>
    <w:rsid w:val="37906A4B"/>
    <w:rsid w:val="37A471E2"/>
    <w:rsid w:val="37D048D4"/>
    <w:rsid w:val="37D36EA7"/>
    <w:rsid w:val="37DD0685"/>
    <w:rsid w:val="37EB7A89"/>
    <w:rsid w:val="37EC7511"/>
    <w:rsid w:val="37F26912"/>
    <w:rsid w:val="37F65FE7"/>
    <w:rsid w:val="37FC5580"/>
    <w:rsid w:val="37FF39C3"/>
    <w:rsid w:val="3802717A"/>
    <w:rsid w:val="381055A3"/>
    <w:rsid w:val="381563B5"/>
    <w:rsid w:val="381A3EE3"/>
    <w:rsid w:val="381F228D"/>
    <w:rsid w:val="3821188D"/>
    <w:rsid w:val="3827258D"/>
    <w:rsid w:val="382A6BE8"/>
    <w:rsid w:val="383C3F59"/>
    <w:rsid w:val="383C47FA"/>
    <w:rsid w:val="38492261"/>
    <w:rsid w:val="384B4E63"/>
    <w:rsid w:val="38555887"/>
    <w:rsid w:val="385856F8"/>
    <w:rsid w:val="385D5E15"/>
    <w:rsid w:val="3866152D"/>
    <w:rsid w:val="387A27AA"/>
    <w:rsid w:val="38834D5D"/>
    <w:rsid w:val="38843C9E"/>
    <w:rsid w:val="38870284"/>
    <w:rsid w:val="388A4529"/>
    <w:rsid w:val="388C7101"/>
    <w:rsid w:val="38AA6131"/>
    <w:rsid w:val="38B04997"/>
    <w:rsid w:val="38B23673"/>
    <w:rsid w:val="38B66541"/>
    <w:rsid w:val="38C5598C"/>
    <w:rsid w:val="38C60DC1"/>
    <w:rsid w:val="38CD3239"/>
    <w:rsid w:val="38D30472"/>
    <w:rsid w:val="38D5577A"/>
    <w:rsid w:val="38D81751"/>
    <w:rsid w:val="38DE66B5"/>
    <w:rsid w:val="38E215F6"/>
    <w:rsid w:val="38E7220A"/>
    <w:rsid w:val="38EE6136"/>
    <w:rsid w:val="38F37390"/>
    <w:rsid w:val="38FC1528"/>
    <w:rsid w:val="3900653F"/>
    <w:rsid w:val="390A0F7D"/>
    <w:rsid w:val="390F5EE5"/>
    <w:rsid w:val="39201CF3"/>
    <w:rsid w:val="3935668A"/>
    <w:rsid w:val="393D1DE3"/>
    <w:rsid w:val="393E3804"/>
    <w:rsid w:val="393F39FB"/>
    <w:rsid w:val="394F38CE"/>
    <w:rsid w:val="39523E30"/>
    <w:rsid w:val="3954237C"/>
    <w:rsid w:val="395528CC"/>
    <w:rsid w:val="39554D66"/>
    <w:rsid w:val="397D74BB"/>
    <w:rsid w:val="39A37709"/>
    <w:rsid w:val="39A50CC5"/>
    <w:rsid w:val="39A72D84"/>
    <w:rsid w:val="39B468E1"/>
    <w:rsid w:val="39B62401"/>
    <w:rsid w:val="39B62590"/>
    <w:rsid w:val="39BA232F"/>
    <w:rsid w:val="39BE489D"/>
    <w:rsid w:val="39C02209"/>
    <w:rsid w:val="39C04DD3"/>
    <w:rsid w:val="39C15C45"/>
    <w:rsid w:val="39C17ECC"/>
    <w:rsid w:val="39CC5558"/>
    <w:rsid w:val="39D827BD"/>
    <w:rsid w:val="39E65F9B"/>
    <w:rsid w:val="39F607D9"/>
    <w:rsid w:val="39FF41DE"/>
    <w:rsid w:val="3A092791"/>
    <w:rsid w:val="3A1B0A20"/>
    <w:rsid w:val="3A1C2D63"/>
    <w:rsid w:val="3A306AA9"/>
    <w:rsid w:val="3A48258B"/>
    <w:rsid w:val="3A607E96"/>
    <w:rsid w:val="3A72657A"/>
    <w:rsid w:val="3A811495"/>
    <w:rsid w:val="3A8278DB"/>
    <w:rsid w:val="3A8705EF"/>
    <w:rsid w:val="3A955817"/>
    <w:rsid w:val="3AA632C9"/>
    <w:rsid w:val="3AA95F51"/>
    <w:rsid w:val="3AB145E5"/>
    <w:rsid w:val="3ABE5DD0"/>
    <w:rsid w:val="3AC67346"/>
    <w:rsid w:val="3ADE39C1"/>
    <w:rsid w:val="3AEC435E"/>
    <w:rsid w:val="3AF857CA"/>
    <w:rsid w:val="3B1B54FC"/>
    <w:rsid w:val="3B462789"/>
    <w:rsid w:val="3B490C89"/>
    <w:rsid w:val="3B4B55EE"/>
    <w:rsid w:val="3B4F521C"/>
    <w:rsid w:val="3B6250B9"/>
    <w:rsid w:val="3B674BEE"/>
    <w:rsid w:val="3B686E18"/>
    <w:rsid w:val="3B7913FF"/>
    <w:rsid w:val="3B7F6EF4"/>
    <w:rsid w:val="3B8F501B"/>
    <w:rsid w:val="3B9237F8"/>
    <w:rsid w:val="3B957EDA"/>
    <w:rsid w:val="3BAF1F9D"/>
    <w:rsid w:val="3BB414FD"/>
    <w:rsid w:val="3BB458AC"/>
    <w:rsid w:val="3BC1285E"/>
    <w:rsid w:val="3BC41EC2"/>
    <w:rsid w:val="3BD32A0E"/>
    <w:rsid w:val="3BDB0D7D"/>
    <w:rsid w:val="3BDD39DD"/>
    <w:rsid w:val="3BDF5A50"/>
    <w:rsid w:val="3BE632F0"/>
    <w:rsid w:val="3C04523F"/>
    <w:rsid w:val="3C101F53"/>
    <w:rsid w:val="3C10617D"/>
    <w:rsid w:val="3C2945E2"/>
    <w:rsid w:val="3C337122"/>
    <w:rsid w:val="3C451609"/>
    <w:rsid w:val="3C4C10CB"/>
    <w:rsid w:val="3C580FE5"/>
    <w:rsid w:val="3C692115"/>
    <w:rsid w:val="3C6B593F"/>
    <w:rsid w:val="3C6D2AE4"/>
    <w:rsid w:val="3C7A43E5"/>
    <w:rsid w:val="3C7A50A7"/>
    <w:rsid w:val="3C7B69C6"/>
    <w:rsid w:val="3C8D0E26"/>
    <w:rsid w:val="3C8F67E9"/>
    <w:rsid w:val="3C921A92"/>
    <w:rsid w:val="3C977991"/>
    <w:rsid w:val="3CBA0726"/>
    <w:rsid w:val="3CC35098"/>
    <w:rsid w:val="3CD17135"/>
    <w:rsid w:val="3CF962B1"/>
    <w:rsid w:val="3CFA1AE5"/>
    <w:rsid w:val="3D007268"/>
    <w:rsid w:val="3D0F59C8"/>
    <w:rsid w:val="3D145A12"/>
    <w:rsid w:val="3D2768DD"/>
    <w:rsid w:val="3D326289"/>
    <w:rsid w:val="3D426DBB"/>
    <w:rsid w:val="3D666BDB"/>
    <w:rsid w:val="3D717351"/>
    <w:rsid w:val="3D7D439A"/>
    <w:rsid w:val="3D8A5533"/>
    <w:rsid w:val="3D8D1A4F"/>
    <w:rsid w:val="3D973295"/>
    <w:rsid w:val="3D9A7043"/>
    <w:rsid w:val="3DAC7EB5"/>
    <w:rsid w:val="3DB61FEC"/>
    <w:rsid w:val="3DB95CC5"/>
    <w:rsid w:val="3DC42701"/>
    <w:rsid w:val="3DDA0974"/>
    <w:rsid w:val="3DE7288A"/>
    <w:rsid w:val="3DF26649"/>
    <w:rsid w:val="3DF83E90"/>
    <w:rsid w:val="3E022C2D"/>
    <w:rsid w:val="3E0A1D23"/>
    <w:rsid w:val="3E1555A5"/>
    <w:rsid w:val="3E225234"/>
    <w:rsid w:val="3E230126"/>
    <w:rsid w:val="3E246BB4"/>
    <w:rsid w:val="3E2E2788"/>
    <w:rsid w:val="3E2F4204"/>
    <w:rsid w:val="3E4511A0"/>
    <w:rsid w:val="3E4D666F"/>
    <w:rsid w:val="3E5E3DF4"/>
    <w:rsid w:val="3E622BBA"/>
    <w:rsid w:val="3E632930"/>
    <w:rsid w:val="3E642378"/>
    <w:rsid w:val="3E741ECE"/>
    <w:rsid w:val="3E852629"/>
    <w:rsid w:val="3E880BA9"/>
    <w:rsid w:val="3E9013D3"/>
    <w:rsid w:val="3EAD2B8F"/>
    <w:rsid w:val="3EB808FC"/>
    <w:rsid w:val="3EBB40F7"/>
    <w:rsid w:val="3ED16EB6"/>
    <w:rsid w:val="3ED8398A"/>
    <w:rsid w:val="3EE43738"/>
    <w:rsid w:val="3F00009D"/>
    <w:rsid w:val="3F1958B0"/>
    <w:rsid w:val="3F1B6800"/>
    <w:rsid w:val="3F206482"/>
    <w:rsid w:val="3F2960C4"/>
    <w:rsid w:val="3F317CA2"/>
    <w:rsid w:val="3F385F14"/>
    <w:rsid w:val="3F3D3522"/>
    <w:rsid w:val="3F466F11"/>
    <w:rsid w:val="3F543888"/>
    <w:rsid w:val="3F5961B9"/>
    <w:rsid w:val="3F617094"/>
    <w:rsid w:val="3F6C172D"/>
    <w:rsid w:val="3F722628"/>
    <w:rsid w:val="3F7468EC"/>
    <w:rsid w:val="3F7B50B8"/>
    <w:rsid w:val="3F83070B"/>
    <w:rsid w:val="3F9628DE"/>
    <w:rsid w:val="3F991DAE"/>
    <w:rsid w:val="3F9B65E4"/>
    <w:rsid w:val="3FA2133E"/>
    <w:rsid w:val="3FB20EB7"/>
    <w:rsid w:val="3FB64DA6"/>
    <w:rsid w:val="3FBF092A"/>
    <w:rsid w:val="3FBF388D"/>
    <w:rsid w:val="3FCC7D5D"/>
    <w:rsid w:val="3FD73CF6"/>
    <w:rsid w:val="3FE83013"/>
    <w:rsid w:val="3FEA109C"/>
    <w:rsid w:val="3FEC7615"/>
    <w:rsid w:val="3FEE725C"/>
    <w:rsid w:val="3FFD2516"/>
    <w:rsid w:val="40053331"/>
    <w:rsid w:val="400851AD"/>
    <w:rsid w:val="40085C8C"/>
    <w:rsid w:val="400A0BFF"/>
    <w:rsid w:val="400F368F"/>
    <w:rsid w:val="40117682"/>
    <w:rsid w:val="401237F6"/>
    <w:rsid w:val="40153FC7"/>
    <w:rsid w:val="4033439E"/>
    <w:rsid w:val="40350805"/>
    <w:rsid w:val="40387021"/>
    <w:rsid w:val="404A2217"/>
    <w:rsid w:val="404C017B"/>
    <w:rsid w:val="4075309A"/>
    <w:rsid w:val="40803E36"/>
    <w:rsid w:val="408C02F6"/>
    <w:rsid w:val="408C33D5"/>
    <w:rsid w:val="408C65CD"/>
    <w:rsid w:val="409021DE"/>
    <w:rsid w:val="40934DBB"/>
    <w:rsid w:val="40985CBA"/>
    <w:rsid w:val="409910D5"/>
    <w:rsid w:val="40A704CA"/>
    <w:rsid w:val="40B72179"/>
    <w:rsid w:val="40BF7F72"/>
    <w:rsid w:val="40C17665"/>
    <w:rsid w:val="40E70AFB"/>
    <w:rsid w:val="40EC0E84"/>
    <w:rsid w:val="40F04953"/>
    <w:rsid w:val="40F24D17"/>
    <w:rsid w:val="40F76532"/>
    <w:rsid w:val="4103068A"/>
    <w:rsid w:val="41085354"/>
    <w:rsid w:val="4120755D"/>
    <w:rsid w:val="41244192"/>
    <w:rsid w:val="41256E50"/>
    <w:rsid w:val="413B3DB7"/>
    <w:rsid w:val="41400774"/>
    <w:rsid w:val="4142113D"/>
    <w:rsid w:val="41435760"/>
    <w:rsid w:val="41473C39"/>
    <w:rsid w:val="416A16C1"/>
    <w:rsid w:val="416E5F76"/>
    <w:rsid w:val="41700AAB"/>
    <w:rsid w:val="41717C60"/>
    <w:rsid w:val="417B1F38"/>
    <w:rsid w:val="417C0C37"/>
    <w:rsid w:val="418007A2"/>
    <w:rsid w:val="418B3B17"/>
    <w:rsid w:val="419371F1"/>
    <w:rsid w:val="419D266C"/>
    <w:rsid w:val="419F608F"/>
    <w:rsid w:val="41AF13BC"/>
    <w:rsid w:val="41C72BBA"/>
    <w:rsid w:val="41C85DE8"/>
    <w:rsid w:val="41D77374"/>
    <w:rsid w:val="41D83A85"/>
    <w:rsid w:val="41DF6285"/>
    <w:rsid w:val="41E77030"/>
    <w:rsid w:val="41FA4B30"/>
    <w:rsid w:val="421460B5"/>
    <w:rsid w:val="421D413B"/>
    <w:rsid w:val="421F5705"/>
    <w:rsid w:val="42382F03"/>
    <w:rsid w:val="42390617"/>
    <w:rsid w:val="42530361"/>
    <w:rsid w:val="42615750"/>
    <w:rsid w:val="427539BB"/>
    <w:rsid w:val="427C22D2"/>
    <w:rsid w:val="427F4782"/>
    <w:rsid w:val="4294369D"/>
    <w:rsid w:val="42AA74D6"/>
    <w:rsid w:val="42BE579A"/>
    <w:rsid w:val="42CD3C7C"/>
    <w:rsid w:val="42D56E76"/>
    <w:rsid w:val="42EB32E0"/>
    <w:rsid w:val="42F00FEB"/>
    <w:rsid w:val="42F57B58"/>
    <w:rsid w:val="430231EB"/>
    <w:rsid w:val="43026A13"/>
    <w:rsid w:val="4314191D"/>
    <w:rsid w:val="43162FC6"/>
    <w:rsid w:val="431E22AA"/>
    <w:rsid w:val="43203743"/>
    <w:rsid w:val="4325549D"/>
    <w:rsid w:val="433023EE"/>
    <w:rsid w:val="43401A54"/>
    <w:rsid w:val="43442A76"/>
    <w:rsid w:val="43540549"/>
    <w:rsid w:val="435C32EE"/>
    <w:rsid w:val="43643F9C"/>
    <w:rsid w:val="436F2ABD"/>
    <w:rsid w:val="43722C64"/>
    <w:rsid w:val="437522EB"/>
    <w:rsid w:val="43764345"/>
    <w:rsid w:val="437736E0"/>
    <w:rsid w:val="4378479F"/>
    <w:rsid w:val="437B3157"/>
    <w:rsid w:val="43A05D07"/>
    <w:rsid w:val="43AA3CBC"/>
    <w:rsid w:val="43B10381"/>
    <w:rsid w:val="43C22EEF"/>
    <w:rsid w:val="43D425BD"/>
    <w:rsid w:val="43F26159"/>
    <w:rsid w:val="43F460DA"/>
    <w:rsid w:val="44041B49"/>
    <w:rsid w:val="441C5722"/>
    <w:rsid w:val="442A13ED"/>
    <w:rsid w:val="442A2DD4"/>
    <w:rsid w:val="44321D97"/>
    <w:rsid w:val="4436482F"/>
    <w:rsid w:val="44366AAB"/>
    <w:rsid w:val="44386F1F"/>
    <w:rsid w:val="444371DA"/>
    <w:rsid w:val="44477467"/>
    <w:rsid w:val="44481AAD"/>
    <w:rsid w:val="44493B67"/>
    <w:rsid w:val="444A62C4"/>
    <w:rsid w:val="445D196C"/>
    <w:rsid w:val="446820F7"/>
    <w:rsid w:val="446F19A5"/>
    <w:rsid w:val="44773263"/>
    <w:rsid w:val="449E27AE"/>
    <w:rsid w:val="44A92F65"/>
    <w:rsid w:val="44BB7A4F"/>
    <w:rsid w:val="44BC28DE"/>
    <w:rsid w:val="44C246EB"/>
    <w:rsid w:val="44CB6E75"/>
    <w:rsid w:val="44CC3937"/>
    <w:rsid w:val="44D37EF6"/>
    <w:rsid w:val="44D57A61"/>
    <w:rsid w:val="44D634C2"/>
    <w:rsid w:val="44D955A4"/>
    <w:rsid w:val="44E15623"/>
    <w:rsid w:val="44E60E90"/>
    <w:rsid w:val="44E65B50"/>
    <w:rsid w:val="44EB2513"/>
    <w:rsid w:val="45274B42"/>
    <w:rsid w:val="452C4769"/>
    <w:rsid w:val="452C5781"/>
    <w:rsid w:val="452C7432"/>
    <w:rsid w:val="45340201"/>
    <w:rsid w:val="453B53EB"/>
    <w:rsid w:val="453B7B6E"/>
    <w:rsid w:val="45450A00"/>
    <w:rsid w:val="45453175"/>
    <w:rsid w:val="45522632"/>
    <w:rsid w:val="456468D3"/>
    <w:rsid w:val="456E2D56"/>
    <w:rsid w:val="457A13A8"/>
    <w:rsid w:val="457B3871"/>
    <w:rsid w:val="458A1349"/>
    <w:rsid w:val="459F3BA0"/>
    <w:rsid w:val="45A57F0E"/>
    <w:rsid w:val="45AA10A8"/>
    <w:rsid w:val="45AA33B3"/>
    <w:rsid w:val="45B65075"/>
    <w:rsid w:val="45C85BA3"/>
    <w:rsid w:val="45CD5244"/>
    <w:rsid w:val="45DA4343"/>
    <w:rsid w:val="45DA79EB"/>
    <w:rsid w:val="45DD0E1A"/>
    <w:rsid w:val="45DE77C4"/>
    <w:rsid w:val="45E72A9D"/>
    <w:rsid w:val="45F6235C"/>
    <w:rsid w:val="45FE6CCC"/>
    <w:rsid w:val="46004A27"/>
    <w:rsid w:val="46073173"/>
    <w:rsid w:val="460E5A40"/>
    <w:rsid w:val="46132BB0"/>
    <w:rsid w:val="461B41BB"/>
    <w:rsid w:val="462C3CA5"/>
    <w:rsid w:val="46340310"/>
    <w:rsid w:val="46374774"/>
    <w:rsid w:val="464706A4"/>
    <w:rsid w:val="466F0375"/>
    <w:rsid w:val="467A4189"/>
    <w:rsid w:val="467B7D56"/>
    <w:rsid w:val="4685694B"/>
    <w:rsid w:val="46934885"/>
    <w:rsid w:val="4694019E"/>
    <w:rsid w:val="46A02410"/>
    <w:rsid w:val="46A55ACA"/>
    <w:rsid w:val="46AA4269"/>
    <w:rsid w:val="46B01E17"/>
    <w:rsid w:val="46CC3B8F"/>
    <w:rsid w:val="46D1641A"/>
    <w:rsid w:val="46EE69E8"/>
    <w:rsid w:val="47106E0C"/>
    <w:rsid w:val="47111CDC"/>
    <w:rsid w:val="471462E4"/>
    <w:rsid w:val="471545CE"/>
    <w:rsid w:val="47461E6E"/>
    <w:rsid w:val="474F7908"/>
    <w:rsid w:val="4751236C"/>
    <w:rsid w:val="4759752E"/>
    <w:rsid w:val="47673C2F"/>
    <w:rsid w:val="477C209F"/>
    <w:rsid w:val="478862B6"/>
    <w:rsid w:val="478C324F"/>
    <w:rsid w:val="4796598E"/>
    <w:rsid w:val="479A00DE"/>
    <w:rsid w:val="47A10833"/>
    <w:rsid w:val="47BE1A04"/>
    <w:rsid w:val="47BE589D"/>
    <w:rsid w:val="47D95C0F"/>
    <w:rsid w:val="47E5324C"/>
    <w:rsid w:val="47E6444D"/>
    <w:rsid w:val="47E94BD9"/>
    <w:rsid w:val="480713FA"/>
    <w:rsid w:val="48111C8A"/>
    <w:rsid w:val="4813620A"/>
    <w:rsid w:val="4814638B"/>
    <w:rsid w:val="481E6CA5"/>
    <w:rsid w:val="48391309"/>
    <w:rsid w:val="48461540"/>
    <w:rsid w:val="48471E7A"/>
    <w:rsid w:val="484C20DA"/>
    <w:rsid w:val="48501DDD"/>
    <w:rsid w:val="485E1004"/>
    <w:rsid w:val="486D1F9A"/>
    <w:rsid w:val="48753601"/>
    <w:rsid w:val="48841491"/>
    <w:rsid w:val="488F39CB"/>
    <w:rsid w:val="489276BA"/>
    <w:rsid w:val="489914ED"/>
    <w:rsid w:val="48A23500"/>
    <w:rsid w:val="48A54A5D"/>
    <w:rsid w:val="48B850D3"/>
    <w:rsid w:val="48CB710A"/>
    <w:rsid w:val="48D45707"/>
    <w:rsid w:val="48D57553"/>
    <w:rsid w:val="48D7277F"/>
    <w:rsid w:val="48EE3C82"/>
    <w:rsid w:val="48EF40F2"/>
    <w:rsid w:val="48FE5DE4"/>
    <w:rsid w:val="490312E6"/>
    <w:rsid w:val="490E2D57"/>
    <w:rsid w:val="49151A7A"/>
    <w:rsid w:val="49161368"/>
    <w:rsid w:val="492A751F"/>
    <w:rsid w:val="492D1769"/>
    <w:rsid w:val="49523571"/>
    <w:rsid w:val="496078D7"/>
    <w:rsid w:val="49733513"/>
    <w:rsid w:val="49775E1A"/>
    <w:rsid w:val="49783617"/>
    <w:rsid w:val="49787FB4"/>
    <w:rsid w:val="497E4A97"/>
    <w:rsid w:val="497F03EE"/>
    <w:rsid w:val="49842576"/>
    <w:rsid w:val="498D3C74"/>
    <w:rsid w:val="498E12E2"/>
    <w:rsid w:val="4991536F"/>
    <w:rsid w:val="499A4971"/>
    <w:rsid w:val="49A2221A"/>
    <w:rsid w:val="49B14B1C"/>
    <w:rsid w:val="49BB5803"/>
    <w:rsid w:val="49C01490"/>
    <w:rsid w:val="49C876B2"/>
    <w:rsid w:val="49D67C92"/>
    <w:rsid w:val="49DD007D"/>
    <w:rsid w:val="49E04231"/>
    <w:rsid w:val="49E9209F"/>
    <w:rsid w:val="49EA0F47"/>
    <w:rsid w:val="4A041456"/>
    <w:rsid w:val="4A121F70"/>
    <w:rsid w:val="4A1F05A6"/>
    <w:rsid w:val="4A484963"/>
    <w:rsid w:val="4A4B1CBA"/>
    <w:rsid w:val="4A5C118C"/>
    <w:rsid w:val="4A657E98"/>
    <w:rsid w:val="4A716E08"/>
    <w:rsid w:val="4A78558B"/>
    <w:rsid w:val="4A786895"/>
    <w:rsid w:val="4A8658FB"/>
    <w:rsid w:val="4A90598E"/>
    <w:rsid w:val="4A9A7FA2"/>
    <w:rsid w:val="4AB21CBD"/>
    <w:rsid w:val="4AC41462"/>
    <w:rsid w:val="4AC66386"/>
    <w:rsid w:val="4AD53103"/>
    <w:rsid w:val="4AD74899"/>
    <w:rsid w:val="4AF04C60"/>
    <w:rsid w:val="4AF260A0"/>
    <w:rsid w:val="4AF308A5"/>
    <w:rsid w:val="4AFB4684"/>
    <w:rsid w:val="4B014E5F"/>
    <w:rsid w:val="4B115B3C"/>
    <w:rsid w:val="4B17265C"/>
    <w:rsid w:val="4B214079"/>
    <w:rsid w:val="4B2144C5"/>
    <w:rsid w:val="4B344090"/>
    <w:rsid w:val="4B5267C9"/>
    <w:rsid w:val="4B5E3786"/>
    <w:rsid w:val="4B5E3B7F"/>
    <w:rsid w:val="4B7145AF"/>
    <w:rsid w:val="4B7546AC"/>
    <w:rsid w:val="4B755A59"/>
    <w:rsid w:val="4B7A456C"/>
    <w:rsid w:val="4B995A6A"/>
    <w:rsid w:val="4B9E2F77"/>
    <w:rsid w:val="4BA80AA3"/>
    <w:rsid w:val="4BBC6154"/>
    <w:rsid w:val="4BD10984"/>
    <w:rsid w:val="4BF076A1"/>
    <w:rsid w:val="4BF77549"/>
    <w:rsid w:val="4BF904D4"/>
    <w:rsid w:val="4C157AA5"/>
    <w:rsid w:val="4C187AC5"/>
    <w:rsid w:val="4C1A3742"/>
    <w:rsid w:val="4C2051AD"/>
    <w:rsid w:val="4C2A65BC"/>
    <w:rsid w:val="4C373F6E"/>
    <w:rsid w:val="4C4A6810"/>
    <w:rsid w:val="4C5203C2"/>
    <w:rsid w:val="4C5C3FBF"/>
    <w:rsid w:val="4C695589"/>
    <w:rsid w:val="4C711E9D"/>
    <w:rsid w:val="4C7E3D49"/>
    <w:rsid w:val="4C804776"/>
    <w:rsid w:val="4C8205D9"/>
    <w:rsid w:val="4C820C23"/>
    <w:rsid w:val="4C8B7961"/>
    <w:rsid w:val="4C8C7409"/>
    <w:rsid w:val="4C9021F1"/>
    <w:rsid w:val="4CAA1FCB"/>
    <w:rsid w:val="4CAA4697"/>
    <w:rsid w:val="4CAD5466"/>
    <w:rsid w:val="4CB37BAC"/>
    <w:rsid w:val="4CBA7706"/>
    <w:rsid w:val="4CBB2EC5"/>
    <w:rsid w:val="4CCF00A1"/>
    <w:rsid w:val="4CD27B12"/>
    <w:rsid w:val="4CDA0923"/>
    <w:rsid w:val="4CDE4B20"/>
    <w:rsid w:val="4CEB1691"/>
    <w:rsid w:val="4CFA5362"/>
    <w:rsid w:val="4CFB066E"/>
    <w:rsid w:val="4D0B6DB7"/>
    <w:rsid w:val="4D11362E"/>
    <w:rsid w:val="4D162762"/>
    <w:rsid w:val="4D1F0373"/>
    <w:rsid w:val="4D2E258B"/>
    <w:rsid w:val="4D307874"/>
    <w:rsid w:val="4D431BD1"/>
    <w:rsid w:val="4D640860"/>
    <w:rsid w:val="4D6D3516"/>
    <w:rsid w:val="4D782F29"/>
    <w:rsid w:val="4D7B1559"/>
    <w:rsid w:val="4D7D2B4D"/>
    <w:rsid w:val="4D875BF3"/>
    <w:rsid w:val="4D8D25E5"/>
    <w:rsid w:val="4D9F319B"/>
    <w:rsid w:val="4DA15FCA"/>
    <w:rsid w:val="4DA6024D"/>
    <w:rsid w:val="4DAC4C9E"/>
    <w:rsid w:val="4DAC5BBD"/>
    <w:rsid w:val="4DB35980"/>
    <w:rsid w:val="4DB75E03"/>
    <w:rsid w:val="4DBE51E7"/>
    <w:rsid w:val="4DC271DE"/>
    <w:rsid w:val="4DC3305F"/>
    <w:rsid w:val="4DCE539C"/>
    <w:rsid w:val="4DD57150"/>
    <w:rsid w:val="4DDA488E"/>
    <w:rsid w:val="4DEF02EF"/>
    <w:rsid w:val="4DF27264"/>
    <w:rsid w:val="4DFF4758"/>
    <w:rsid w:val="4E0A6A83"/>
    <w:rsid w:val="4E0B51EE"/>
    <w:rsid w:val="4E2707FC"/>
    <w:rsid w:val="4E277A00"/>
    <w:rsid w:val="4E3C307C"/>
    <w:rsid w:val="4E3D6CEF"/>
    <w:rsid w:val="4E4A7AB7"/>
    <w:rsid w:val="4E561AE7"/>
    <w:rsid w:val="4E685591"/>
    <w:rsid w:val="4E7A3C2B"/>
    <w:rsid w:val="4E923757"/>
    <w:rsid w:val="4E9C5C38"/>
    <w:rsid w:val="4E9D6674"/>
    <w:rsid w:val="4EAC4B7D"/>
    <w:rsid w:val="4EB035EC"/>
    <w:rsid w:val="4EBD40D2"/>
    <w:rsid w:val="4EC16E02"/>
    <w:rsid w:val="4EC241CB"/>
    <w:rsid w:val="4EC62D45"/>
    <w:rsid w:val="4EC6528A"/>
    <w:rsid w:val="4ECA5903"/>
    <w:rsid w:val="4EF52754"/>
    <w:rsid w:val="4EFE3DF7"/>
    <w:rsid w:val="4F0B5B52"/>
    <w:rsid w:val="4F166DA0"/>
    <w:rsid w:val="4F1A5D26"/>
    <w:rsid w:val="4F283B39"/>
    <w:rsid w:val="4F286D99"/>
    <w:rsid w:val="4F2905DE"/>
    <w:rsid w:val="4F2C25FF"/>
    <w:rsid w:val="4F3615C0"/>
    <w:rsid w:val="4F381F5E"/>
    <w:rsid w:val="4F432A20"/>
    <w:rsid w:val="4F4F25F5"/>
    <w:rsid w:val="4F566CD2"/>
    <w:rsid w:val="4F5A6228"/>
    <w:rsid w:val="4F687A40"/>
    <w:rsid w:val="4F6F37CB"/>
    <w:rsid w:val="4F740ADF"/>
    <w:rsid w:val="4F7522ED"/>
    <w:rsid w:val="4F8541EA"/>
    <w:rsid w:val="4F900F36"/>
    <w:rsid w:val="4F9C75AD"/>
    <w:rsid w:val="4FA12FFE"/>
    <w:rsid w:val="4FA95165"/>
    <w:rsid w:val="4FAF1082"/>
    <w:rsid w:val="4FBE65D7"/>
    <w:rsid w:val="4FCD6B74"/>
    <w:rsid w:val="4FD10981"/>
    <w:rsid w:val="4FD12CD2"/>
    <w:rsid w:val="4FDD4567"/>
    <w:rsid w:val="4FF23779"/>
    <w:rsid w:val="4FFE09A4"/>
    <w:rsid w:val="50032D64"/>
    <w:rsid w:val="5010288F"/>
    <w:rsid w:val="501563E4"/>
    <w:rsid w:val="501E652B"/>
    <w:rsid w:val="50252AAE"/>
    <w:rsid w:val="50272E74"/>
    <w:rsid w:val="503311D4"/>
    <w:rsid w:val="503A22DF"/>
    <w:rsid w:val="504D686D"/>
    <w:rsid w:val="504F53A5"/>
    <w:rsid w:val="505535FB"/>
    <w:rsid w:val="50565D93"/>
    <w:rsid w:val="5057757B"/>
    <w:rsid w:val="505E6C3A"/>
    <w:rsid w:val="50623940"/>
    <w:rsid w:val="50651BAE"/>
    <w:rsid w:val="5067022B"/>
    <w:rsid w:val="50690134"/>
    <w:rsid w:val="507D3767"/>
    <w:rsid w:val="507F5E52"/>
    <w:rsid w:val="50830821"/>
    <w:rsid w:val="50874490"/>
    <w:rsid w:val="50A01BEE"/>
    <w:rsid w:val="50A54BA5"/>
    <w:rsid w:val="50A92A26"/>
    <w:rsid w:val="50AB0EFF"/>
    <w:rsid w:val="50B25D54"/>
    <w:rsid w:val="50B552D4"/>
    <w:rsid w:val="50BF117A"/>
    <w:rsid w:val="50C15909"/>
    <w:rsid w:val="50DD08CA"/>
    <w:rsid w:val="50EE1217"/>
    <w:rsid w:val="50FC35C4"/>
    <w:rsid w:val="50FF2F37"/>
    <w:rsid w:val="51016DEA"/>
    <w:rsid w:val="51225068"/>
    <w:rsid w:val="512C686C"/>
    <w:rsid w:val="51474EC2"/>
    <w:rsid w:val="51627DAA"/>
    <w:rsid w:val="516C1E6E"/>
    <w:rsid w:val="5170705E"/>
    <w:rsid w:val="51783015"/>
    <w:rsid w:val="518B5CAE"/>
    <w:rsid w:val="518D7BFE"/>
    <w:rsid w:val="519513E9"/>
    <w:rsid w:val="51A14094"/>
    <w:rsid w:val="51A547BD"/>
    <w:rsid w:val="51A57666"/>
    <w:rsid w:val="51A930B8"/>
    <w:rsid w:val="51AB2F25"/>
    <w:rsid w:val="51B05017"/>
    <w:rsid w:val="51B15B37"/>
    <w:rsid w:val="51B3528C"/>
    <w:rsid w:val="51B4491F"/>
    <w:rsid w:val="51BE53D6"/>
    <w:rsid w:val="51C649F7"/>
    <w:rsid w:val="51F0109E"/>
    <w:rsid w:val="51F86EAD"/>
    <w:rsid w:val="51FA7D0D"/>
    <w:rsid w:val="52036358"/>
    <w:rsid w:val="5204534A"/>
    <w:rsid w:val="520A59AF"/>
    <w:rsid w:val="521D4533"/>
    <w:rsid w:val="522513DA"/>
    <w:rsid w:val="522B0B2C"/>
    <w:rsid w:val="522B16E6"/>
    <w:rsid w:val="52336AD4"/>
    <w:rsid w:val="52376EFE"/>
    <w:rsid w:val="52384E7B"/>
    <w:rsid w:val="5238508F"/>
    <w:rsid w:val="527E74C6"/>
    <w:rsid w:val="529145D0"/>
    <w:rsid w:val="529604C5"/>
    <w:rsid w:val="529764AB"/>
    <w:rsid w:val="529E410E"/>
    <w:rsid w:val="52A00371"/>
    <w:rsid w:val="52CA4AF2"/>
    <w:rsid w:val="52CC4711"/>
    <w:rsid w:val="52D73EC2"/>
    <w:rsid w:val="52DF669F"/>
    <w:rsid w:val="52E146A5"/>
    <w:rsid w:val="52E3089A"/>
    <w:rsid w:val="52E803B7"/>
    <w:rsid w:val="52F24575"/>
    <w:rsid w:val="52F675BE"/>
    <w:rsid w:val="53027A8E"/>
    <w:rsid w:val="53334518"/>
    <w:rsid w:val="5339529A"/>
    <w:rsid w:val="533A2105"/>
    <w:rsid w:val="534C3FDB"/>
    <w:rsid w:val="535069DC"/>
    <w:rsid w:val="53571498"/>
    <w:rsid w:val="536103C1"/>
    <w:rsid w:val="53614F2D"/>
    <w:rsid w:val="5368032C"/>
    <w:rsid w:val="536965A2"/>
    <w:rsid w:val="53710273"/>
    <w:rsid w:val="537847EB"/>
    <w:rsid w:val="53791944"/>
    <w:rsid w:val="538F5630"/>
    <w:rsid w:val="53916CAF"/>
    <w:rsid w:val="539F0ED3"/>
    <w:rsid w:val="53A34112"/>
    <w:rsid w:val="53B10DFE"/>
    <w:rsid w:val="53B87FF6"/>
    <w:rsid w:val="53BC2B1D"/>
    <w:rsid w:val="53C80681"/>
    <w:rsid w:val="53CD7909"/>
    <w:rsid w:val="53CF55F4"/>
    <w:rsid w:val="53D52583"/>
    <w:rsid w:val="53D66F04"/>
    <w:rsid w:val="53DF193C"/>
    <w:rsid w:val="53ED00DC"/>
    <w:rsid w:val="53FB338E"/>
    <w:rsid w:val="53FB76E7"/>
    <w:rsid w:val="53FC3012"/>
    <w:rsid w:val="54034EBC"/>
    <w:rsid w:val="540719F5"/>
    <w:rsid w:val="540871F8"/>
    <w:rsid w:val="54164D11"/>
    <w:rsid w:val="54194DBF"/>
    <w:rsid w:val="542D1FA5"/>
    <w:rsid w:val="54446706"/>
    <w:rsid w:val="54505D9A"/>
    <w:rsid w:val="54572E3E"/>
    <w:rsid w:val="54681611"/>
    <w:rsid w:val="54682E71"/>
    <w:rsid w:val="546D2F86"/>
    <w:rsid w:val="54890CCE"/>
    <w:rsid w:val="54967618"/>
    <w:rsid w:val="54973A19"/>
    <w:rsid w:val="549D6CF1"/>
    <w:rsid w:val="54B54E3F"/>
    <w:rsid w:val="54C07192"/>
    <w:rsid w:val="54D679D0"/>
    <w:rsid w:val="54DC6275"/>
    <w:rsid w:val="54DE2E00"/>
    <w:rsid w:val="54E537D3"/>
    <w:rsid w:val="5502756C"/>
    <w:rsid w:val="550A4546"/>
    <w:rsid w:val="55135768"/>
    <w:rsid w:val="55160582"/>
    <w:rsid w:val="551B2B7D"/>
    <w:rsid w:val="551F4102"/>
    <w:rsid w:val="55253C37"/>
    <w:rsid w:val="55334E5D"/>
    <w:rsid w:val="55396040"/>
    <w:rsid w:val="55414538"/>
    <w:rsid w:val="55422FFF"/>
    <w:rsid w:val="55437AB0"/>
    <w:rsid w:val="55662DAA"/>
    <w:rsid w:val="55676F00"/>
    <w:rsid w:val="55694047"/>
    <w:rsid w:val="556F3F5F"/>
    <w:rsid w:val="557355C9"/>
    <w:rsid w:val="557A007B"/>
    <w:rsid w:val="557C048E"/>
    <w:rsid w:val="558477CE"/>
    <w:rsid w:val="55873FD4"/>
    <w:rsid w:val="559C1D7A"/>
    <w:rsid w:val="559D57C8"/>
    <w:rsid w:val="55A41727"/>
    <w:rsid w:val="55AA0237"/>
    <w:rsid w:val="55B30B2D"/>
    <w:rsid w:val="55CF7B01"/>
    <w:rsid w:val="55D53091"/>
    <w:rsid w:val="55E152F4"/>
    <w:rsid w:val="55E53527"/>
    <w:rsid w:val="560A7CE2"/>
    <w:rsid w:val="56141A16"/>
    <w:rsid w:val="56192C25"/>
    <w:rsid w:val="562D36D1"/>
    <w:rsid w:val="56394206"/>
    <w:rsid w:val="563D22F8"/>
    <w:rsid w:val="5645364E"/>
    <w:rsid w:val="565915B5"/>
    <w:rsid w:val="56594C96"/>
    <w:rsid w:val="56876606"/>
    <w:rsid w:val="569B7F0C"/>
    <w:rsid w:val="56A435C9"/>
    <w:rsid w:val="56A63349"/>
    <w:rsid w:val="56AC66D6"/>
    <w:rsid w:val="56AE3D83"/>
    <w:rsid w:val="56B24EFD"/>
    <w:rsid w:val="56B51BA8"/>
    <w:rsid w:val="56CE11AE"/>
    <w:rsid w:val="56DE3ED6"/>
    <w:rsid w:val="56EB4682"/>
    <w:rsid w:val="56ED27F0"/>
    <w:rsid w:val="56F47D68"/>
    <w:rsid w:val="56F521C4"/>
    <w:rsid w:val="56FF08C4"/>
    <w:rsid w:val="56FF7061"/>
    <w:rsid w:val="5715769D"/>
    <w:rsid w:val="57173191"/>
    <w:rsid w:val="5718634C"/>
    <w:rsid w:val="571A6CEE"/>
    <w:rsid w:val="571B7F95"/>
    <w:rsid w:val="57332B6B"/>
    <w:rsid w:val="573C7E83"/>
    <w:rsid w:val="573D4BA6"/>
    <w:rsid w:val="573D6E38"/>
    <w:rsid w:val="57437550"/>
    <w:rsid w:val="574A41AD"/>
    <w:rsid w:val="5752273D"/>
    <w:rsid w:val="57566C8A"/>
    <w:rsid w:val="576923F7"/>
    <w:rsid w:val="576C0FAE"/>
    <w:rsid w:val="577816F1"/>
    <w:rsid w:val="57813B65"/>
    <w:rsid w:val="57872134"/>
    <w:rsid w:val="579A5F2B"/>
    <w:rsid w:val="57A57AE8"/>
    <w:rsid w:val="57B1177F"/>
    <w:rsid w:val="57CB3EB6"/>
    <w:rsid w:val="57F62511"/>
    <w:rsid w:val="57F7338C"/>
    <w:rsid w:val="580A13FE"/>
    <w:rsid w:val="5811114E"/>
    <w:rsid w:val="5814613A"/>
    <w:rsid w:val="582006A6"/>
    <w:rsid w:val="582D22B5"/>
    <w:rsid w:val="5832568E"/>
    <w:rsid w:val="58350152"/>
    <w:rsid w:val="583E0855"/>
    <w:rsid w:val="58405BD6"/>
    <w:rsid w:val="58447383"/>
    <w:rsid w:val="5849717C"/>
    <w:rsid w:val="586B7BE7"/>
    <w:rsid w:val="58700DE8"/>
    <w:rsid w:val="58721709"/>
    <w:rsid w:val="58906F90"/>
    <w:rsid w:val="58976943"/>
    <w:rsid w:val="58992266"/>
    <w:rsid w:val="58995FD2"/>
    <w:rsid w:val="589B0FA5"/>
    <w:rsid w:val="589E1ED1"/>
    <w:rsid w:val="58AE7184"/>
    <w:rsid w:val="58B06EB8"/>
    <w:rsid w:val="58B7004E"/>
    <w:rsid w:val="58BE495A"/>
    <w:rsid w:val="58DA1753"/>
    <w:rsid w:val="58E4579C"/>
    <w:rsid w:val="58EC308A"/>
    <w:rsid w:val="58FB396F"/>
    <w:rsid w:val="58FE5331"/>
    <w:rsid w:val="59050B7C"/>
    <w:rsid w:val="59127C4B"/>
    <w:rsid w:val="591D3D08"/>
    <w:rsid w:val="59425837"/>
    <w:rsid w:val="594B4A13"/>
    <w:rsid w:val="59535154"/>
    <w:rsid w:val="59546368"/>
    <w:rsid w:val="595D2613"/>
    <w:rsid w:val="597F309A"/>
    <w:rsid w:val="59890A10"/>
    <w:rsid w:val="598A2801"/>
    <w:rsid w:val="598F6314"/>
    <w:rsid w:val="5998038D"/>
    <w:rsid w:val="59AB21F5"/>
    <w:rsid w:val="59C3591E"/>
    <w:rsid w:val="59D3512B"/>
    <w:rsid w:val="59DA56B6"/>
    <w:rsid w:val="59F039E8"/>
    <w:rsid w:val="5A142D6B"/>
    <w:rsid w:val="5A25309F"/>
    <w:rsid w:val="5A2700B5"/>
    <w:rsid w:val="5A2A5AA3"/>
    <w:rsid w:val="5A355485"/>
    <w:rsid w:val="5A372C97"/>
    <w:rsid w:val="5A3D6DCD"/>
    <w:rsid w:val="5A3F398A"/>
    <w:rsid w:val="5A466B29"/>
    <w:rsid w:val="5A4E2A98"/>
    <w:rsid w:val="5A4E3E84"/>
    <w:rsid w:val="5A4F2F19"/>
    <w:rsid w:val="5A511393"/>
    <w:rsid w:val="5A547BB6"/>
    <w:rsid w:val="5A577825"/>
    <w:rsid w:val="5A5B58A4"/>
    <w:rsid w:val="5A696E0F"/>
    <w:rsid w:val="5A6D7FBF"/>
    <w:rsid w:val="5A7A1BE2"/>
    <w:rsid w:val="5A877C51"/>
    <w:rsid w:val="5A91644D"/>
    <w:rsid w:val="5A941F28"/>
    <w:rsid w:val="5A95407B"/>
    <w:rsid w:val="5A9F2E55"/>
    <w:rsid w:val="5AA50FA7"/>
    <w:rsid w:val="5AAD3CF4"/>
    <w:rsid w:val="5AB01FB5"/>
    <w:rsid w:val="5ABA0CC9"/>
    <w:rsid w:val="5AC0402F"/>
    <w:rsid w:val="5AC4465D"/>
    <w:rsid w:val="5AC61E90"/>
    <w:rsid w:val="5ACA15CB"/>
    <w:rsid w:val="5AE14BEA"/>
    <w:rsid w:val="5AFA202C"/>
    <w:rsid w:val="5B055F21"/>
    <w:rsid w:val="5B0B2BBC"/>
    <w:rsid w:val="5B2021A9"/>
    <w:rsid w:val="5B216873"/>
    <w:rsid w:val="5B343865"/>
    <w:rsid w:val="5B401E70"/>
    <w:rsid w:val="5B467A3E"/>
    <w:rsid w:val="5B614FF1"/>
    <w:rsid w:val="5B681B09"/>
    <w:rsid w:val="5B6E2F0F"/>
    <w:rsid w:val="5B6F069D"/>
    <w:rsid w:val="5B7B05F0"/>
    <w:rsid w:val="5B7C18C2"/>
    <w:rsid w:val="5B8D4F15"/>
    <w:rsid w:val="5BA95BBE"/>
    <w:rsid w:val="5BAC380A"/>
    <w:rsid w:val="5BAD48E5"/>
    <w:rsid w:val="5BB13104"/>
    <w:rsid w:val="5BB30905"/>
    <w:rsid w:val="5BBF1302"/>
    <w:rsid w:val="5BC05D7C"/>
    <w:rsid w:val="5BC74024"/>
    <w:rsid w:val="5BC92AB9"/>
    <w:rsid w:val="5BCC66E0"/>
    <w:rsid w:val="5BE0345A"/>
    <w:rsid w:val="5BE13F5D"/>
    <w:rsid w:val="5BFA20BD"/>
    <w:rsid w:val="5BFF742A"/>
    <w:rsid w:val="5C041290"/>
    <w:rsid w:val="5C0428AD"/>
    <w:rsid w:val="5C1C6300"/>
    <w:rsid w:val="5C1E6EC0"/>
    <w:rsid w:val="5C286057"/>
    <w:rsid w:val="5C2E6431"/>
    <w:rsid w:val="5C327F67"/>
    <w:rsid w:val="5C3335FB"/>
    <w:rsid w:val="5C3D000D"/>
    <w:rsid w:val="5C3E5F63"/>
    <w:rsid w:val="5C43770A"/>
    <w:rsid w:val="5C4578F1"/>
    <w:rsid w:val="5C490B67"/>
    <w:rsid w:val="5C4B4AAC"/>
    <w:rsid w:val="5C520AF6"/>
    <w:rsid w:val="5C625F4D"/>
    <w:rsid w:val="5C687DFD"/>
    <w:rsid w:val="5C706E41"/>
    <w:rsid w:val="5C8D43CC"/>
    <w:rsid w:val="5C93377C"/>
    <w:rsid w:val="5C990CB5"/>
    <w:rsid w:val="5C9C14E1"/>
    <w:rsid w:val="5CBE57BD"/>
    <w:rsid w:val="5CEB7F50"/>
    <w:rsid w:val="5CFA12F3"/>
    <w:rsid w:val="5CFE6D4C"/>
    <w:rsid w:val="5D000EB3"/>
    <w:rsid w:val="5D095584"/>
    <w:rsid w:val="5D173BC5"/>
    <w:rsid w:val="5D1A1A2D"/>
    <w:rsid w:val="5D207FAD"/>
    <w:rsid w:val="5D471EDA"/>
    <w:rsid w:val="5D4F31FC"/>
    <w:rsid w:val="5D502361"/>
    <w:rsid w:val="5D516512"/>
    <w:rsid w:val="5D536ECA"/>
    <w:rsid w:val="5D597E6E"/>
    <w:rsid w:val="5D652D27"/>
    <w:rsid w:val="5D6F3197"/>
    <w:rsid w:val="5D7C310B"/>
    <w:rsid w:val="5D955D9E"/>
    <w:rsid w:val="5DA777EC"/>
    <w:rsid w:val="5DBB5D6D"/>
    <w:rsid w:val="5DC456B0"/>
    <w:rsid w:val="5DD77E21"/>
    <w:rsid w:val="5DDA64C3"/>
    <w:rsid w:val="5DDF1491"/>
    <w:rsid w:val="5DF11244"/>
    <w:rsid w:val="5DF12E2F"/>
    <w:rsid w:val="5E010A2A"/>
    <w:rsid w:val="5E0419F0"/>
    <w:rsid w:val="5E046D19"/>
    <w:rsid w:val="5E0B72CA"/>
    <w:rsid w:val="5E201CB3"/>
    <w:rsid w:val="5E237151"/>
    <w:rsid w:val="5E2743A0"/>
    <w:rsid w:val="5E2B0D66"/>
    <w:rsid w:val="5E2D766B"/>
    <w:rsid w:val="5E325C1D"/>
    <w:rsid w:val="5E341135"/>
    <w:rsid w:val="5E404362"/>
    <w:rsid w:val="5E5A4FA4"/>
    <w:rsid w:val="5E603A48"/>
    <w:rsid w:val="5E641087"/>
    <w:rsid w:val="5E677B93"/>
    <w:rsid w:val="5E6F2192"/>
    <w:rsid w:val="5E7B0962"/>
    <w:rsid w:val="5E7D6585"/>
    <w:rsid w:val="5EA8582E"/>
    <w:rsid w:val="5EAB6381"/>
    <w:rsid w:val="5EB075A5"/>
    <w:rsid w:val="5EBD02DA"/>
    <w:rsid w:val="5EC63C25"/>
    <w:rsid w:val="5ED26B22"/>
    <w:rsid w:val="5ED35C6B"/>
    <w:rsid w:val="5ED70452"/>
    <w:rsid w:val="5EF517AB"/>
    <w:rsid w:val="5EF647C0"/>
    <w:rsid w:val="5EF72524"/>
    <w:rsid w:val="5F0112E8"/>
    <w:rsid w:val="5F083F15"/>
    <w:rsid w:val="5F0B0F32"/>
    <w:rsid w:val="5F0D6F2D"/>
    <w:rsid w:val="5F163B0D"/>
    <w:rsid w:val="5F2019C0"/>
    <w:rsid w:val="5F2357C5"/>
    <w:rsid w:val="5F252EAA"/>
    <w:rsid w:val="5F2D6209"/>
    <w:rsid w:val="5F3B4BBB"/>
    <w:rsid w:val="5F412AA4"/>
    <w:rsid w:val="5F41746B"/>
    <w:rsid w:val="5F676747"/>
    <w:rsid w:val="5F6A69E5"/>
    <w:rsid w:val="5F6E1EBF"/>
    <w:rsid w:val="5F710DBB"/>
    <w:rsid w:val="5F7D5DED"/>
    <w:rsid w:val="5F7D6730"/>
    <w:rsid w:val="5F857B42"/>
    <w:rsid w:val="5F8B7732"/>
    <w:rsid w:val="5F8E0E01"/>
    <w:rsid w:val="5F91294D"/>
    <w:rsid w:val="5F9C4F11"/>
    <w:rsid w:val="5FBB6FC7"/>
    <w:rsid w:val="5FC54AAF"/>
    <w:rsid w:val="5FCC4D64"/>
    <w:rsid w:val="5FCC7514"/>
    <w:rsid w:val="5FDA33AC"/>
    <w:rsid w:val="5FDF2A71"/>
    <w:rsid w:val="5FE12CEE"/>
    <w:rsid w:val="5FE8325E"/>
    <w:rsid w:val="5FEC4FFF"/>
    <w:rsid w:val="5FF50E93"/>
    <w:rsid w:val="5FF66E47"/>
    <w:rsid w:val="6000133B"/>
    <w:rsid w:val="60143261"/>
    <w:rsid w:val="601D0770"/>
    <w:rsid w:val="60257482"/>
    <w:rsid w:val="60332075"/>
    <w:rsid w:val="603539CE"/>
    <w:rsid w:val="60366D91"/>
    <w:rsid w:val="605048B4"/>
    <w:rsid w:val="60547CE0"/>
    <w:rsid w:val="60565483"/>
    <w:rsid w:val="60567D64"/>
    <w:rsid w:val="60641F14"/>
    <w:rsid w:val="60726407"/>
    <w:rsid w:val="607B1CD1"/>
    <w:rsid w:val="609A2B33"/>
    <w:rsid w:val="609A3C0A"/>
    <w:rsid w:val="609B21FE"/>
    <w:rsid w:val="60A83908"/>
    <w:rsid w:val="60AB08A1"/>
    <w:rsid w:val="60AE277A"/>
    <w:rsid w:val="60B54131"/>
    <w:rsid w:val="60C20BE6"/>
    <w:rsid w:val="60C4082D"/>
    <w:rsid w:val="60CE7277"/>
    <w:rsid w:val="60D37C58"/>
    <w:rsid w:val="60DB7EA6"/>
    <w:rsid w:val="60E4565E"/>
    <w:rsid w:val="60E54E08"/>
    <w:rsid w:val="60E85DF2"/>
    <w:rsid w:val="60F4362A"/>
    <w:rsid w:val="60F77150"/>
    <w:rsid w:val="61075925"/>
    <w:rsid w:val="610D15AF"/>
    <w:rsid w:val="61124A34"/>
    <w:rsid w:val="61215B2C"/>
    <w:rsid w:val="61230A3F"/>
    <w:rsid w:val="61304900"/>
    <w:rsid w:val="613E2100"/>
    <w:rsid w:val="61415602"/>
    <w:rsid w:val="614162BD"/>
    <w:rsid w:val="61461708"/>
    <w:rsid w:val="61565E9F"/>
    <w:rsid w:val="615A1AE7"/>
    <w:rsid w:val="615F11FF"/>
    <w:rsid w:val="61606F7C"/>
    <w:rsid w:val="61650208"/>
    <w:rsid w:val="616B64D3"/>
    <w:rsid w:val="61763ED2"/>
    <w:rsid w:val="61785459"/>
    <w:rsid w:val="6178674D"/>
    <w:rsid w:val="617C3209"/>
    <w:rsid w:val="61874DA5"/>
    <w:rsid w:val="61A545F9"/>
    <w:rsid w:val="61AC7CEF"/>
    <w:rsid w:val="61C915EB"/>
    <w:rsid w:val="61CB6F17"/>
    <w:rsid w:val="61CC6833"/>
    <w:rsid w:val="61D00B24"/>
    <w:rsid w:val="61DD6FE6"/>
    <w:rsid w:val="61F1062C"/>
    <w:rsid w:val="61F42B5B"/>
    <w:rsid w:val="61F6252A"/>
    <w:rsid w:val="61F777ED"/>
    <w:rsid w:val="62260309"/>
    <w:rsid w:val="62290F40"/>
    <w:rsid w:val="622D35AD"/>
    <w:rsid w:val="623106D8"/>
    <w:rsid w:val="62370D20"/>
    <w:rsid w:val="623B1290"/>
    <w:rsid w:val="62407A91"/>
    <w:rsid w:val="6262726D"/>
    <w:rsid w:val="627050DF"/>
    <w:rsid w:val="62852C36"/>
    <w:rsid w:val="62995510"/>
    <w:rsid w:val="62A228F1"/>
    <w:rsid w:val="62A91D2D"/>
    <w:rsid w:val="62B73B4D"/>
    <w:rsid w:val="62C352D9"/>
    <w:rsid w:val="62DA48DC"/>
    <w:rsid w:val="62E10695"/>
    <w:rsid w:val="62ED6FD8"/>
    <w:rsid w:val="62F57900"/>
    <w:rsid w:val="62FA2E29"/>
    <w:rsid w:val="63163FBA"/>
    <w:rsid w:val="631A5EE9"/>
    <w:rsid w:val="631C0DE6"/>
    <w:rsid w:val="631E5379"/>
    <w:rsid w:val="631F6375"/>
    <w:rsid w:val="63217C34"/>
    <w:rsid w:val="63412464"/>
    <w:rsid w:val="63437E29"/>
    <w:rsid w:val="634F1BA9"/>
    <w:rsid w:val="6352446E"/>
    <w:rsid w:val="63571994"/>
    <w:rsid w:val="635769BE"/>
    <w:rsid w:val="635D5000"/>
    <w:rsid w:val="63642C72"/>
    <w:rsid w:val="63787246"/>
    <w:rsid w:val="637E5FE3"/>
    <w:rsid w:val="63850568"/>
    <w:rsid w:val="639528CA"/>
    <w:rsid w:val="63975934"/>
    <w:rsid w:val="639E0DE7"/>
    <w:rsid w:val="639E39B8"/>
    <w:rsid w:val="63A8660D"/>
    <w:rsid w:val="63AD47A9"/>
    <w:rsid w:val="63AD6063"/>
    <w:rsid w:val="63BD1A4A"/>
    <w:rsid w:val="63C22B3B"/>
    <w:rsid w:val="63C24CCA"/>
    <w:rsid w:val="63C8365A"/>
    <w:rsid w:val="63CE3F66"/>
    <w:rsid w:val="63CF637C"/>
    <w:rsid w:val="63CF682B"/>
    <w:rsid w:val="63DB7536"/>
    <w:rsid w:val="63E11D91"/>
    <w:rsid w:val="6403220B"/>
    <w:rsid w:val="64034984"/>
    <w:rsid w:val="64036618"/>
    <w:rsid w:val="640566D1"/>
    <w:rsid w:val="640D7CFF"/>
    <w:rsid w:val="641F50AD"/>
    <w:rsid w:val="64375B53"/>
    <w:rsid w:val="64533A7E"/>
    <w:rsid w:val="645350E6"/>
    <w:rsid w:val="645962BD"/>
    <w:rsid w:val="6483569B"/>
    <w:rsid w:val="649336EA"/>
    <w:rsid w:val="64A0474A"/>
    <w:rsid w:val="64A562C2"/>
    <w:rsid w:val="64A92EF6"/>
    <w:rsid w:val="64C0485C"/>
    <w:rsid w:val="64C51F3E"/>
    <w:rsid w:val="64D33BC6"/>
    <w:rsid w:val="64E3536C"/>
    <w:rsid w:val="64FD31A7"/>
    <w:rsid w:val="64FD4B57"/>
    <w:rsid w:val="6500086A"/>
    <w:rsid w:val="65014882"/>
    <w:rsid w:val="650746FF"/>
    <w:rsid w:val="650817E3"/>
    <w:rsid w:val="651A3588"/>
    <w:rsid w:val="65201658"/>
    <w:rsid w:val="65251713"/>
    <w:rsid w:val="654B14F7"/>
    <w:rsid w:val="655A30EE"/>
    <w:rsid w:val="657622C3"/>
    <w:rsid w:val="65816824"/>
    <w:rsid w:val="65872BCB"/>
    <w:rsid w:val="658C6A87"/>
    <w:rsid w:val="65A0506C"/>
    <w:rsid w:val="65A248D8"/>
    <w:rsid w:val="65BF54DD"/>
    <w:rsid w:val="65C02CE8"/>
    <w:rsid w:val="65D918A7"/>
    <w:rsid w:val="65E6506B"/>
    <w:rsid w:val="66022478"/>
    <w:rsid w:val="661413FE"/>
    <w:rsid w:val="6617206F"/>
    <w:rsid w:val="66194209"/>
    <w:rsid w:val="66261ABD"/>
    <w:rsid w:val="66282582"/>
    <w:rsid w:val="66365B0E"/>
    <w:rsid w:val="6640144C"/>
    <w:rsid w:val="66594C0A"/>
    <w:rsid w:val="6675277E"/>
    <w:rsid w:val="667D2674"/>
    <w:rsid w:val="66835514"/>
    <w:rsid w:val="6684721D"/>
    <w:rsid w:val="66895EF6"/>
    <w:rsid w:val="668A02CD"/>
    <w:rsid w:val="66C844B8"/>
    <w:rsid w:val="66DB7363"/>
    <w:rsid w:val="66E54A4B"/>
    <w:rsid w:val="66F03FD3"/>
    <w:rsid w:val="66F436AA"/>
    <w:rsid w:val="66F62958"/>
    <w:rsid w:val="670205E4"/>
    <w:rsid w:val="67080C54"/>
    <w:rsid w:val="67087C7E"/>
    <w:rsid w:val="6727226E"/>
    <w:rsid w:val="67284911"/>
    <w:rsid w:val="672C194C"/>
    <w:rsid w:val="672F3FE3"/>
    <w:rsid w:val="67304879"/>
    <w:rsid w:val="67345FAE"/>
    <w:rsid w:val="674002BD"/>
    <w:rsid w:val="67425689"/>
    <w:rsid w:val="674D0B18"/>
    <w:rsid w:val="674D7044"/>
    <w:rsid w:val="67506EB2"/>
    <w:rsid w:val="675229E8"/>
    <w:rsid w:val="67595213"/>
    <w:rsid w:val="675B6E99"/>
    <w:rsid w:val="67610579"/>
    <w:rsid w:val="67636B33"/>
    <w:rsid w:val="67722DC0"/>
    <w:rsid w:val="677936AC"/>
    <w:rsid w:val="677971E4"/>
    <w:rsid w:val="67924A92"/>
    <w:rsid w:val="679E22F8"/>
    <w:rsid w:val="67A025AF"/>
    <w:rsid w:val="67AD2351"/>
    <w:rsid w:val="67BD7AF3"/>
    <w:rsid w:val="67C61ED5"/>
    <w:rsid w:val="67C931C8"/>
    <w:rsid w:val="67D93BE6"/>
    <w:rsid w:val="67DC312B"/>
    <w:rsid w:val="67E912DD"/>
    <w:rsid w:val="67FC5A68"/>
    <w:rsid w:val="68085AFE"/>
    <w:rsid w:val="68157B81"/>
    <w:rsid w:val="6831016A"/>
    <w:rsid w:val="68312BCD"/>
    <w:rsid w:val="68353B26"/>
    <w:rsid w:val="6836795E"/>
    <w:rsid w:val="683957DC"/>
    <w:rsid w:val="684D2447"/>
    <w:rsid w:val="685D4B0F"/>
    <w:rsid w:val="68662426"/>
    <w:rsid w:val="686E3B02"/>
    <w:rsid w:val="68763A46"/>
    <w:rsid w:val="688E6FC9"/>
    <w:rsid w:val="68A30AD6"/>
    <w:rsid w:val="68AD3C56"/>
    <w:rsid w:val="68B253D3"/>
    <w:rsid w:val="68B83E4A"/>
    <w:rsid w:val="68C42DDA"/>
    <w:rsid w:val="68CB4B89"/>
    <w:rsid w:val="68CC640C"/>
    <w:rsid w:val="68CD6179"/>
    <w:rsid w:val="68DA47D0"/>
    <w:rsid w:val="68DF292D"/>
    <w:rsid w:val="68E479BB"/>
    <w:rsid w:val="68E83A5E"/>
    <w:rsid w:val="690162AF"/>
    <w:rsid w:val="6901775D"/>
    <w:rsid w:val="6912519E"/>
    <w:rsid w:val="69196235"/>
    <w:rsid w:val="691F0DEF"/>
    <w:rsid w:val="69311B83"/>
    <w:rsid w:val="69390DDF"/>
    <w:rsid w:val="69445A33"/>
    <w:rsid w:val="695B00A9"/>
    <w:rsid w:val="695C3534"/>
    <w:rsid w:val="696840ED"/>
    <w:rsid w:val="696E0920"/>
    <w:rsid w:val="696E5384"/>
    <w:rsid w:val="6973719A"/>
    <w:rsid w:val="697B422F"/>
    <w:rsid w:val="697E3918"/>
    <w:rsid w:val="69977FCD"/>
    <w:rsid w:val="699F059D"/>
    <w:rsid w:val="69A204FA"/>
    <w:rsid w:val="69B41C00"/>
    <w:rsid w:val="69C6731C"/>
    <w:rsid w:val="69D654F6"/>
    <w:rsid w:val="69E314CF"/>
    <w:rsid w:val="69F909C1"/>
    <w:rsid w:val="6A052DD5"/>
    <w:rsid w:val="6A12099C"/>
    <w:rsid w:val="6A1815F5"/>
    <w:rsid w:val="6A185CED"/>
    <w:rsid w:val="6A262EB2"/>
    <w:rsid w:val="6A281C1B"/>
    <w:rsid w:val="6A330B86"/>
    <w:rsid w:val="6A391F54"/>
    <w:rsid w:val="6A3A3A5D"/>
    <w:rsid w:val="6A3D6ACC"/>
    <w:rsid w:val="6A3F111D"/>
    <w:rsid w:val="6A403A35"/>
    <w:rsid w:val="6A4906C0"/>
    <w:rsid w:val="6A513D1C"/>
    <w:rsid w:val="6A524DFA"/>
    <w:rsid w:val="6A5250DD"/>
    <w:rsid w:val="6A7B4570"/>
    <w:rsid w:val="6A9B1C3C"/>
    <w:rsid w:val="6AA15F87"/>
    <w:rsid w:val="6AA87761"/>
    <w:rsid w:val="6AAC47A1"/>
    <w:rsid w:val="6AAF25DC"/>
    <w:rsid w:val="6AB53512"/>
    <w:rsid w:val="6AB900AF"/>
    <w:rsid w:val="6ABE4A5B"/>
    <w:rsid w:val="6AD5331E"/>
    <w:rsid w:val="6AFB3583"/>
    <w:rsid w:val="6AFD2CD9"/>
    <w:rsid w:val="6B0C37BE"/>
    <w:rsid w:val="6B167A4F"/>
    <w:rsid w:val="6B1C75C5"/>
    <w:rsid w:val="6B2712EF"/>
    <w:rsid w:val="6B30179F"/>
    <w:rsid w:val="6B431912"/>
    <w:rsid w:val="6B453ECC"/>
    <w:rsid w:val="6B4A568C"/>
    <w:rsid w:val="6B551F87"/>
    <w:rsid w:val="6B55286D"/>
    <w:rsid w:val="6B552948"/>
    <w:rsid w:val="6B597DDD"/>
    <w:rsid w:val="6B702A22"/>
    <w:rsid w:val="6B8E04D4"/>
    <w:rsid w:val="6B906281"/>
    <w:rsid w:val="6B95349D"/>
    <w:rsid w:val="6BA71FE0"/>
    <w:rsid w:val="6BB63E13"/>
    <w:rsid w:val="6BC23A63"/>
    <w:rsid w:val="6BC61B6D"/>
    <w:rsid w:val="6BC64DE3"/>
    <w:rsid w:val="6BD11955"/>
    <w:rsid w:val="6BFE6F79"/>
    <w:rsid w:val="6C1A458D"/>
    <w:rsid w:val="6C1A7987"/>
    <w:rsid w:val="6C22431C"/>
    <w:rsid w:val="6C255FF6"/>
    <w:rsid w:val="6C290E1C"/>
    <w:rsid w:val="6C4D1C74"/>
    <w:rsid w:val="6C530DAF"/>
    <w:rsid w:val="6C5D58A0"/>
    <w:rsid w:val="6C655A3B"/>
    <w:rsid w:val="6C6B60F7"/>
    <w:rsid w:val="6C7C5655"/>
    <w:rsid w:val="6C860A44"/>
    <w:rsid w:val="6C8D7A41"/>
    <w:rsid w:val="6C9A1ACC"/>
    <w:rsid w:val="6CA21E52"/>
    <w:rsid w:val="6CAA40D9"/>
    <w:rsid w:val="6CB010A1"/>
    <w:rsid w:val="6CB6236C"/>
    <w:rsid w:val="6CBA6396"/>
    <w:rsid w:val="6CDF13B4"/>
    <w:rsid w:val="6CE37093"/>
    <w:rsid w:val="6CE55B73"/>
    <w:rsid w:val="6CE604A1"/>
    <w:rsid w:val="6CE672C5"/>
    <w:rsid w:val="6CED67FB"/>
    <w:rsid w:val="6D06293D"/>
    <w:rsid w:val="6D074419"/>
    <w:rsid w:val="6D0B3775"/>
    <w:rsid w:val="6D0E2BA3"/>
    <w:rsid w:val="6D223772"/>
    <w:rsid w:val="6D2428E0"/>
    <w:rsid w:val="6D295319"/>
    <w:rsid w:val="6D464793"/>
    <w:rsid w:val="6D4D226E"/>
    <w:rsid w:val="6D7034B9"/>
    <w:rsid w:val="6D766A0A"/>
    <w:rsid w:val="6D7C7223"/>
    <w:rsid w:val="6D862D5E"/>
    <w:rsid w:val="6D91189B"/>
    <w:rsid w:val="6D9344D1"/>
    <w:rsid w:val="6D940AED"/>
    <w:rsid w:val="6D9A24C1"/>
    <w:rsid w:val="6DA203DD"/>
    <w:rsid w:val="6DA652D2"/>
    <w:rsid w:val="6DA82D9C"/>
    <w:rsid w:val="6DB96D7F"/>
    <w:rsid w:val="6DCE5448"/>
    <w:rsid w:val="6DE30BA6"/>
    <w:rsid w:val="6E027060"/>
    <w:rsid w:val="6E0E4982"/>
    <w:rsid w:val="6E106407"/>
    <w:rsid w:val="6E1E2FCE"/>
    <w:rsid w:val="6E1F6786"/>
    <w:rsid w:val="6E2071CB"/>
    <w:rsid w:val="6E3C4ADF"/>
    <w:rsid w:val="6E43095F"/>
    <w:rsid w:val="6E44612E"/>
    <w:rsid w:val="6E44717B"/>
    <w:rsid w:val="6E513C7F"/>
    <w:rsid w:val="6E692B23"/>
    <w:rsid w:val="6E6D2BB8"/>
    <w:rsid w:val="6E753490"/>
    <w:rsid w:val="6E8758AD"/>
    <w:rsid w:val="6E880E67"/>
    <w:rsid w:val="6E94309A"/>
    <w:rsid w:val="6E99120F"/>
    <w:rsid w:val="6E9A26C5"/>
    <w:rsid w:val="6E9A488D"/>
    <w:rsid w:val="6E9A4B21"/>
    <w:rsid w:val="6EAB34E7"/>
    <w:rsid w:val="6EAB7A88"/>
    <w:rsid w:val="6EC82624"/>
    <w:rsid w:val="6ECA555F"/>
    <w:rsid w:val="6ED06618"/>
    <w:rsid w:val="6ED40E35"/>
    <w:rsid w:val="6F0E5807"/>
    <w:rsid w:val="6F1D75CE"/>
    <w:rsid w:val="6F255925"/>
    <w:rsid w:val="6F330840"/>
    <w:rsid w:val="6F607443"/>
    <w:rsid w:val="6F6C22B7"/>
    <w:rsid w:val="6F775DCE"/>
    <w:rsid w:val="6F833DFE"/>
    <w:rsid w:val="6F850623"/>
    <w:rsid w:val="6F9228CF"/>
    <w:rsid w:val="6FA95C43"/>
    <w:rsid w:val="6FB50133"/>
    <w:rsid w:val="6FB90561"/>
    <w:rsid w:val="6FBF41E8"/>
    <w:rsid w:val="6FCC7B68"/>
    <w:rsid w:val="6FD02E0C"/>
    <w:rsid w:val="6FD96321"/>
    <w:rsid w:val="6FDD19C6"/>
    <w:rsid w:val="6FDD6D16"/>
    <w:rsid w:val="6FE31ECD"/>
    <w:rsid w:val="6FE5335F"/>
    <w:rsid w:val="6FF04286"/>
    <w:rsid w:val="6FF112FE"/>
    <w:rsid w:val="6FF4717A"/>
    <w:rsid w:val="6FF65E6E"/>
    <w:rsid w:val="6FFA7281"/>
    <w:rsid w:val="700E00EE"/>
    <w:rsid w:val="7028473C"/>
    <w:rsid w:val="703A4553"/>
    <w:rsid w:val="703C23A6"/>
    <w:rsid w:val="703C3986"/>
    <w:rsid w:val="70412AB7"/>
    <w:rsid w:val="704462F4"/>
    <w:rsid w:val="704D26D6"/>
    <w:rsid w:val="70621321"/>
    <w:rsid w:val="706E1B17"/>
    <w:rsid w:val="70832098"/>
    <w:rsid w:val="708F38A1"/>
    <w:rsid w:val="7094415E"/>
    <w:rsid w:val="70982EA6"/>
    <w:rsid w:val="709E41BB"/>
    <w:rsid w:val="70A13110"/>
    <w:rsid w:val="70A42DAE"/>
    <w:rsid w:val="70AF3986"/>
    <w:rsid w:val="70B312DC"/>
    <w:rsid w:val="70B61107"/>
    <w:rsid w:val="70C70E18"/>
    <w:rsid w:val="70DD1F07"/>
    <w:rsid w:val="70E53CE2"/>
    <w:rsid w:val="71075D3C"/>
    <w:rsid w:val="710A4BD7"/>
    <w:rsid w:val="71132DA5"/>
    <w:rsid w:val="711821AA"/>
    <w:rsid w:val="71200476"/>
    <w:rsid w:val="71222B6B"/>
    <w:rsid w:val="712472BF"/>
    <w:rsid w:val="71325004"/>
    <w:rsid w:val="71395DA9"/>
    <w:rsid w:val="716825C5"/>
    <w:rsid w:val="716B3E3E"/>
    <w:rsid w:val="716D4762"/>
    <w:rsid w:val="716D61D1"/>
    <w:rsid w:val="716F0EE1"/>
    <w:rsid w:val="717831E4"/>
    <w:rsid w:val="717A2233"/>
    <w:rsid w:val="71803D6D"/>
    <w:rsid w:val="71852E32"/>
    <w:rsid w:val="71870FA8"/>
    <w:rsid w:val="718B3118"/>
    <w:rsid w:val="719756BB"/>
    <w:rsid w:val="71A076D1"/>
    <w:rsid w:val="71A53D22"/>
    <w:rsid w:val="71A6351F"/>
    <w:rsid w:val="71A75BED"/>
    <w:rsid w:val="71AC301E"/>
    <w:rsid w:val="71B03052"/>
    <w:rsid w:val="71BE5B6B"/>
    <w:rsid w:val="71C20B81"/>
    <w:rsid w:val="71D571B8"/>
    <w:rsid w:val="71E05289"/>
    <w:rsid w:val="71EF348A"/>
    <w:rsid w:val="71F0652C"/>
    <w:rsid w:val="71F31631"/>
    <w:rsid w:val="71FE3745"/>
    <w:rsid w:val="72204286"/>
    <w:rsid w:val="7226444B"/>
    <w:rsid w:val="72292AE0"/>
    <w:rsid w:val="7235254B"/>
    <w:rsid w:val="72394299"/>
    <w:rsid w:val="72473DED"/>
    <w:rsid w:val="724E5923"/>
    <w:rsid w:val="72500987"/>
    <w:rsid w:val="725348AC"/>
    <w:rsid w:val="7254321F"/>
    <w:rsid w:val="725D66F1"/>
    <w:rsid w:val="72604283"/>
    <w:rsid w:val="726C59DF"/>
    <w:rsid w:val="7270244C"/>
    <w:rsid w:val="727120E6"/>
    <w:rsid w:val="727D2030"/>
    <w:rsid w:val="727F730B"/>
    <w:rsid w:val="728C58ED"/>
    <w:rsid w:val="728F7A47"/>
    <w:rsid w:val="729E3B5B"/>
    <w:rsid w:val="72B25BB8"/>
    <w:rsid w:val="72C14DB8"/>
    <w:rsid w:val="72C31470"/>
    <w:rsid w:val="72C81BFE"/>
    <w:rsid w:val="72D11FBA"/>
    <w:rsid w:val="72D605D3"/>
    <w:rsid w:val="72E32067"/>
    <w:rsid w:val="72EC762C"/>
    <w:rsid w:val="72F25AB7"/>
    <w:rsid w:val="732C0DB1"/>
    <w:rsid w:val="732E28BC"/>
    <w:rsid w:val="7333513F"/>
    <w:rsid w:val="733535EC"/>
    <w:rsid w:val="73374783"/>
    <w:rsid w:val="733C073C"/>
    <w:rsid w:val="73430D6C"/>
    <w:rsid w:val="735314CD"/>
    <w:rsid w:val="73551C56"/>
    <w:rsid w:val="73564510"/>
    <w:rsid w:val="735B1A8A"/>
    <w:rsid w:val="736A3BDE"/>
    <w:rsid w:val="736D257A"/>
    <w:rsid w:val="737F6672"/>
    <w:rsid w:val="73887BBF"/>
    <w:rsid w:val="738E2EDF"/>
    <w:rsid w:val="73955E66"/>
    <w:rsid w:val="73976593"/>
    <w:rsid w:val="73A6018C"/>
    <w:rsid w:val="73B2208E"/>
    <w:rsid w:val="73BB353D"/>
    <w:rsid w:val="73CD2FF4"/>
    <w:rsid w:val="73DC2D68"/>
    <w:rsid w:val="73DE08AF"/>
    <w:rsid w:val="73E84467"/>
    <w:rsid w:val="73F865A1"/>
    <w:rsid w:val="740C7349"/>
    <w:rsid w:val="74232748"/>
    <w:rsid w:val="743559E8"/>
    <w:rsid w:val="74365127"/>
    <w:rsid w:val="743C56BD"/>
    <w:rsid w:val="74403818"/>
    <w:rsid w:val="74542136"/>
    <w:rsid w:val="7458087C"/>
    <w:rsid w:val="745C6CC0"/>
    <w:rsid w:val="74647184"/>
    <w:rsid w:val="748324F9"/>
    <w:rsid w:val="74850440"/>
    <w:rsid w:val="748647E9"/>
    <w:rsid w:val="7490302F"/>
    <w:rsid w:val="749D6065"/>
    <w:rsid w:val="749E342F"/>
    <w:rsid w:val="74A56F3A"/>
    <w:rsid w:val="74AF7935"/>
    <w:rsid w:val="74B06BD3"/>
    <w:rsid w:val="74B860A7"/>
    <w:rsid w:val="74BE0265"/>
    <w:rsid w:val="74C65E1A"/>
    <w:rsid w:val="74CE69B8"/>
    <w:rsid w:val="74D46E2B"/>
    <w:rsid w:val="74DE628C"/>
    <w:rsid w:val="74E92CE5"/>
    <w:rsid w:val="74F86245"/>
    <w:rsid w:val="750017B7"/>
    <w:rsid w:val="750A18CE"/>
    <w:rsid w:val="75254C5E"/>
    <w:rsid w:val="752D0DC2"/>
    <w:rsid w:val="753408EC"/>
    <w:rsid w:val="753418BF"/>
    <w:rsid w:val="7537488C"/>
    <w:rsid w:val="7538675D"/>
    <w:rsid w:val="753E40A8"/>
    <w:rsid w:val="7554162D"/>
    <w:rsid w:val="7575628B"/>
    <w:rsid w:val="757E403B"/>
    <w:rsid w:val="75823F6A"/>
    <w:rsid w:val="75894A50"/>
    <w:rsid w:val="75920E65"/>
    <w:rsid w:val="759F2FC8"/>
    <w:rsid w:val="75A35399"/>
    <w:rsid w:val="75A45EE0"/>
    <w:rsid w:val="75A55C98"/>
    <w:rsid w:val="75C36468"/>
    <w:rsid w:val="75D030A3"/>
    <w:rsid w:val="75E3523E"/>
    <w:rsid w:val="75EA7475"/>
    <w:rsid w:val="75F87030"/>
    <w:rsid w:val="76012960"/>
    <w:rsid w:val="7616049D"/>
    <w:rsid w:val="76195DF9"/>
    <w:rsid w:val="76230DB5"/>
    <w:rsid w:val="7629118C"/>
    <w:rsid w:val="76527CC0"/>
    <w:rsid w:val="765B7B73"/>
    <w:rsid w:val="76640DC4"/>
    <w:rsid w:val="769D07BF"/>
    <w:rsid w:val="76A139D1"/>
    <w:rsid w:val="76A416AC"/>
    <w:rsid w:val="76A76DDC"/>
    <w:rsid w:val="76B546CD"/>
    <w:rsid w:val="76EF3E1D"/>
    <w:rsid w:val="76EF57AB"/>
    <w:rsid w:val="76F76D26"/>
    <w:rsid w:val="770977F6"/>
    <w:rsid w:val="77201376"/>
    <w:rsid w:val="77212CCF"/>
    <w:rsid w:val="77223190"/>
    <w:rsid w:val="7734262A"/>
    <w:rsid w:val="773D667B"/>
    <w:rsid w:val="773E5CED"/>
    <w:rsid w:val="773E7CCC"/>
    <w:rsid w:val="77481002"/>
    <w:rsid w:val="77492279"/>
    <w:rsid w:val="775E3020"/>
    <w:rsid w:val="77791080"/>
    <w:rsid w:val="777D7C7D"/>
    <w:rsid w:val="77921CE9"/>
    <w:rsid w:val="77932D8D"/>
    <w:rsid w:val="77A533E4"/>
    <w:rsid w:val="77A60EE7"/>
    <w:rsid w:val="77AC7B1A"/>
    <w:rsid w:val="77B0644F"/>
    <w:rsid w:val="77BA32C6"/>
    <w:rsid w:val="77C3116E"/>
    <w:rsid w:val="77E924FA"/>
    <w:rsid w:val="77EF4CC6"/>
    <w:rsid w:val="780A45F2"/>
    <w:rsid w:val="780C03B6"/>
    <w:rsid w:val="780D0A0E"/>
    <w:rsid w:val="78185952"/>
    <w:rsid w:val="78215076"/>
    <w:rsid w:val="78232351"/>
    <w:rsid w:val="783D21B4"/>
    <w:rsid w:val="784D0A17"/>
    <w:rsid w:val="785A2094"/>
    <w:rsid w:val="78736788"/>
    <w:rsid w:val="787D4ECA"/>
    <w:rsid w:val="787F2438"/>
    <w:rsid w:val="78836A88"/>
    <w:rsid w:val="78844F69"/>
    <w:rsid w:val="788B1DD8"/>
    <w:rsid w:val="78927FDC"/>
    <w:rsid w:val="78961FE2"/>
    <w:rsid w:val="78A94E17"/>
    <w:rsid w:val="78B226F3"/>
    <w:rsid w:val="78B42521"/>
    <w:rsid w:val="78BA68AA"/>
    <w:rsid w:val="78C62373"/>
    <w:rsid w:val="78C70B2D"/>
    <w:rsid w:val="78F121BD"/>
    <w:rsid w:val="79013583"/>
    <w:rsid w:val="79070F74"/>
    <w:rsid w:val="791A5057"/>
    <w:rsid w:val="791C4101"/>
    <w:rsid w:val="791F4BDF"/>
    <w:rsid w:val="79245380"/>
    <w:rsid w:val="792E455C"/>
    <w:rsid w:val="793F03BB"/>
    <w:rsid w:val="79451EAE"/>
    <w:rsid w:val="79585E6E"/>
    <w:rsid w:val="795C31DE"/>
    <w:rsid w:val="795C7FCE"/>
    <w:rsid w:val="79647430"/>
    <w:rsid w:val="79653F3C"/>
    <w:rsid w:val="796E3572"/>
    <w:rsid w:val="797066E2"/>
    <w:rsid w:val="7976335B"/>
    <w:rsid w:val="79824B64"/>
    <w:rsid w:val="79861DF7"/>
    <w:rsid w:val="7986348A"/>
    <w:rsid w:val="79894D30"/>
    <w:rsid w:val="79972A5A"/>
    <w:rsid w:val="799C1799"/>
    <w:rsid w:val="799F7FA7"/>
    <w:rsid w:val="79A2183A"/>
    <w:rsid w:val="79A67E31"/>
    <w:rsid w:val="79A862F2"/>
    <w:rsid w:val="79AC708B"/>
    <w:rsid w:val="79B64177"/>
    <w:rsid w:val="79BC59F4"/>
    <w:rsid w:val="79D338CE"/>
    <w:rsid w:val="79D77FB2"/>
    <w:rsid w:val="79DE2AB0"/>
    <w:rsid w:val="79DE39D5"/>
    <w:rsid w:val="79FE2629"/>
    <w:rsid w:val="7A0535A9"/>
    <w:rsid w:val="7A090082"/>
    <w:rsid w:val="7A0F49D2"/>
    <w:rsid w:val="7A1310D0"/>
    <w:rsid w:val="7A134865"/>
    <w:rsid w:val="7A1A36EF"/>
    <w:rsid w:val="7A1B24BA"/>
    <w:rsid w:val="7A220196"/>
    <w:rsid w:val="7A291B3A"/>
    <w:rsid w:val="7A3407EF"/>
    <w:rsid w:val="7A363F71"/>
    <w:rsid w:val="7A375D81"/>
    <w:rsid w:val="7A424FA6"/>
    <w:rsid w:val="7A550DD7"/>
    <w:rsid w:val="7A5613DD"/>
    <w:rsid w:val="7A56316C"/>
    <w:rsid w:val="7A6C5B76"/>
    <w:rsid w:val="7A816959"/>
    <w:rsid w:val="7A866B34"/>
    <w:rsid w:val="7A896AE6"/>
    <w:rsid w:val="7A8F2C1D"/>
    <w:rsid w:val="7AA26634"/>
    <w:rsid w:val="7AA31F8B"/>
    <w:rsid w:val="7AA643AA"/>
    <w:rsid w:val="7ABC3FCE"/>
    <w:rsid w:val="7AD92A2F"/>
    <w:rsid w:val="7AF150CB"/>
    <w:rsid w:val="7AF37FE8"/>
    <w:rsid w:val="7AF44061"/>
    <w:rsid w:val="7AF624C5"/>
    <w:rsid w:val="7B023EB2"/>
    <w:rsid w:val="7B03089C"/>
    <w:rsid w:val="7B101645"/>
    <w:rsid w:val="7B115F34"/>
    <w:rsid w:val="7B134E1F"/>
    <w:rsid w:val="7B163F1E"/>
    <w:rsid w:val="7B2B543F"/>
    <w:rsid w:val="7B3057E3"/>
    <w:rsid w:val="7B380C4D"/>
    <w:rsid w:val="7B3A0F88"/>
    <w:rsid w:val="7B4573E5"/>
    <w:rsid w:val="7B513890"/>
    <w:rsid w:val="7B516924"/>
    <w:rsid w:val="7B560E5C"/>
    <w:rsid w:val="7B5B4D76"/>
    <w:rsid w:val="7B644D18"/>
    <w:rsid w:val="7B6C630F"/>
    <w:rsid w:val="7B731C48"/>
    <w:rsid w:val="7B785165"/>
    <w:rsid w:val="7B991705"/>
    <w:rsid w:val="7BA0256B"/>
    <w:rsid w:val="7BA24196"/>
    <w:rsid w:val="7BA261D1"/>
    <w:rsid w:val="7BC035EC"/>
    <w:rsid w:val="7BC95827"/>
    <w:rsid w:val="7BCE443D"/>
    <w:rsid w:val="7BD30A9D"/>
    <w:rsid w:val="7BD954BC"/>
    <w:rsid w:val="7BE26E17"/>
    <w:rsid w:val="7BE66177"/>
    <w:rsid w:val="7BED3A65"/>
    <w:rsid w:val="7BED6FCB"/>
    <w:rsid w:val="7BF7390B"/>
    <w:rsid w:val="7C0600D0"/>
    <w:rsid w:val="7C0E6D07"/>
    <w:rsid w:val="7C1C0A6F"/>
    <w:rsid w:val="7C230F4B"/>
    <w:rsid w:val="7C32404B"/>
    <w:rsid w:val="7C334E98"/>
    <w:rsid w:val="7C3F544B"/>
    <w:rsid w:val="7C4B39D8"/>
    <w:rsid w:val="7C4C05FF"/>
    <w:rsid w:val="7C541407"/>
    <w:rsid w:val="7C6939A2"/>
    <w:rsid w:val="7C6B4B52"/>
    <w:rsid w:val="7C79585C"/>
    <w:rsid w:val="7C7B21AC"/>
    <w:rsid w:val="7C8D42AE"/>
    <w:rsid w:val="7C925CE0"/>
    <w:rsid w:val="7C9A63D5"/>
    <w:rsid w:val="7CA83151"/>
    <w:rsid w:val="7CAB0F20"/>
    <w:rsid w:val="7CB30A6B"/>
    <w:rsid w:val="7CB84CAB"/>
    <w:rsid w:val="7CC05B13"/>
    <w:rsid w:val="7CC36C4C"/>
    <w:rsid w:val="7CC635C5"/>
    <w:rsid w:val="7CC75612"/>
    <w:rsid w:val="7CCF1B17"/>
    <w:rsid w:val="7CDB6E3E"/>
    <w:rsid w:val="7CE3582B"/>
    <w:rsid w:val="7CE510AD"/>
    <w:rsid w:val="7CEF7AE8"/>
    <w:rsid w:val="7CF277DC"/>
    <w:rsid w:val="7D0072C9"/>
    <w:rsid w:val="7D0460DA"/>
    <w:rsid w:val="7D072668"/>
    <w:rsid w:val="7D15084F"/>
    <w:rsid w:val="7D18645A"/>
    <w:rsid w:val="7D31144A"/>
    <w:rsid w:val="7D3404F3"/>
    <w:rsid w:val="7D3C15EE"/>
    <w:rsid w:val="7D456D49"/>
    <w:rsid w:val="7D472F09"/>
    <w:rsid w:val="7D486C5F"/>
    <w:rsid w:val="7D544B31"/>
    <w:rsid w:val="7D5F6C03"/>
    <w:rsid w:val="7D772D24"/>
    <w:rsid w:val="7D7E0AE2"/>
    <w:rsid w:val="7D850F76"/>
    <w:rsid w:val="7D92198D"/>
    <w:rsid w:val="7D9376EA"/>
    <w:rsid w:val="7D9D3220"/>
    <w:rsid w:val="7DAB2673"/>
    <w:rsid w:val="7DB203C8"/>
    <w:rsid w:val="7DB61CC5"/>
    <w:rsid w:val="7DBE4ABB"/>
    <w:rsid w:val="7DC26BCC"/>
    <w:rsid w:val="7DC4185D"/>
    <w:rsid w:val="7DC4521E"/>
    <w:rsid w:val="7DCC2720"/>
    <w:rsid w:val="7DCC3D84"/>
    <w:rsid w:val="7DE92680"/>
    <w:rsid w:val="7DEB36B7"/>
    <w:rsid w:val="7DEE57A4"/>
    <w:rsid w:val="7DFC23A7"/>
    <w:rsid w:val="7E01368D"/>
    <w:rsid w:val="7E0C2679"/>
    <w:rsid w:val="7E0E43DE"/>
    <w:rsid w:val="7E1408EB"/>
    <w:rsid w:val="7E312399"/>
    <w:rsid w:val="7E374A73"/>
    <w:rsid w:val="7E383C96"/>
    <w:rsid w:val="7E3E65FB"/>
    <w:rsid w:val="7E562403"/>
    <w:rsid w:val="7E606CD1"/>
    <w:rsid w:val="7E607B9A"/>
    <w:rsid w:val="7E640F98"/>
    <w:rsid w:val="7E795B07"/>
    <w:rsid w:val="7E7E4971"/>
    <w:rsid w:val="7E802657"/>
    <w:rsid w:val="7E8170B1"/>
    <w:rsid w:val="7E823528"/>
    <w:rsid w:val="7E834DC8"/>
    <w:rsid w:val="7E8739F2"/>
    <w:rsid w:val="7E934BF6"/>
    <w:rsid w:val="7E98710C"/>
    <w:rsid w:val="7E9A32E8"/>
    <w:rsid w:val="7E9F0951"/>
    <w:rsid w:val="7EA32F8D"/>
    <w:rsid w:val="7EAB4349"/>
    <w:rsid w:val="7EAC25E2"/>
    <w:rsid w:val="7EAD6D70"/>
    <w:rsid w:val="7EAE1339"/>
    <w:rsid w:val="7EBD43AA"/>
    <w:rsid w:val="7EE420A6"/>
    <w:rsid w:val="7EE94686"/>
    <w:rsid w:val="7EE974DD"/>
    <w:rsid w:val="7EEF69D6"/>
    <w:rsid w:val="7EFA29DD"/>
    <w:rsid w:val="7EFB52A7"/>
    <w:rsid w:val="7EFF1C9C"/>
    <w:rsid w:val="7F035506"/>
    <w:rsid w:val="7F035C55"/>
    <w:rsid w:val="7F0A5904"/>
    <w:rsid w:val="7F161F6F"/>
    <w:rsid w:val="7F1E1662"/>
    <w:rsid w:val="7F384701"/>
    <w:rsid w:val="7F3C57EC"/>
    <w:rsid w:val="7F4D2444"/>
    <w:rsid w:val="7F585F2C"/>
    <w:rsid w:val="7F6168B8"/>
    <w:rsid w:val="7F643B04"/>
    <w:rsid w:val="7F662B41"/>
    <w:rsid w:val="7F672B97"/>
    <w:rsid w:val="7F674301"/>
    <w:rsid w:val="7F7161DF"/>
    <w:rsid w:val="7F7545E6"/>
    <w:rsid w:val="7F806046"/>
    <w:rsid w:val="7F8B4A4C"/>
    <w:rsid w:val="7FA55F58"/>
    <w:rsid w:val="7FA94E67"/>
    <w:rsid w:val="7FB00A6F"/>
    <w:rsid w:val="7FB04417"/>
    <w:rsid w:val="7FB44EEC"/>
    <w:rsid w:val="7FB67AA5"/>
    <w:rsid w:val="7FBC61A6"/>
    <w:rsid w:val="7FBF208B"/>
    <w:rsid w:val="7FCE6E20"/>
    <w:rsid w:val="7FD51736"/>
    <w:rsid w:val="7FD54F4A"/>
    <w:rsid w:val="7FD7315F"/>
    <w:rsid w:val="7FDD5049"/>
    <w:rsid w:val="7FF84FE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5">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6">
    <w:name w:val="heading 2"/>
    <w:basedOn w:val="1"/>
    <w:next w:val="1"/>
    <w:unhideWhenUsed/>
    <w:qFormat/>
    <w:uiPriority w:val="9"/>
    <w:pPr>
      <w:keepNext/>
      <w:keepLines/>
      <w:spacing w:before="260" w:after="260" w:line="413" w:lineRule="auto"/>
      <w:outlineLvl w:val="1"/>
    </w:pPr>
    <w:rPr>
      <w:rFonts w:ascii="Arial" w:hAnsi="Arial" w:eastAsia="黑体"/>
      <w:b/>
    </w:rPr>
  </w:style>
  <w:style w:type="paragraph" w:styleId="7">
    <w:name w:val="heading 3"/>
    <w:basedOn w:val="1"/>
    <w:next w:val="1"/>
    <w:unhideWhenUsed/>
    <w:qFormat/>
    <w:uiPriority w:val="0"/>
    <w:pPr>
      <w:keepNext/>
      <w:keepLines/>
      <w:spacing w:beforeLines="0" w:beforeAutospacing="0" w:afterLines="0" w:afterAutospacing="0" w:line="360" w:lineRule="auto"/>
      <w:outlineLvl w:val="2"/>
    </w:pPr>
    <w:rPr>
      <w:b/>
      <w:sz w:val="30"/>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widowControl w:val="0"/>
      <w:tabs>
        <w:tab w:val="left" w:pos="0"/>
      </w:tabs>
      <w:spacing w:line="500" w:lineRule="exact"/>
      <w:ind w:firstLine="420"/>
      <w:jc w:val="both"/>
    </w:pPr>
    <w:rPr>
      <w:rFonts w:ascii="黑体" w:hAnsi="Times New Roman" w:eastAsia="仿宋_GB2312" w:cs="Times New Roman"/>
      <w:kern w:val="2"/>
      <w:sz w:val="21"/>
      <w:szCs w:val="24"/>
      <w:lang w:val="en-US" w:eastAsia="zh-CN" w:bidi="ar-SA"/>
    </w:rPr>
  </w:style>
  <w:style w:type="paragraph" w:styleId="3">
    <w:name w:val="Body Text Indent"/>
    <w:basedOn w:val="1"/>
    <w:next w:val="4"/>
    <w:qFormat/>
    <w:uiPriority w:val="99"/>
    <w:pPr>
      <w:spacing w:line="360" w:lineRule="auto"/>
      <w:ind w:firstLine="465"/>
    </w:pPr>
    <w:rPr>
      <w:spacing w:val="8"/>
      <w:sz w:val="24"/>
    </w:rPr>
  </w:style>
  <w:style w:type="paragraph" w:styleId="4">
    <w:name w:val="Normal Indent"/>
    <w:basedOn w:val="1"/>
    <w:next w:val="1"/>
    <w:qFormat/>
    <w:uiPriority w:val="99"/>
    <w:pPr>
      <w:snapToGrid w:val="0"/>
      <w:spacing w:line="300" w:lineRule="auto"/>
      <w:ind w:firstLine="556"/>
    </w:pPr>
    <w:rPr>
      <w:rFonts w:ascii="仿宋_GB2312" w:hAnsi="Times New Roman" w:eastAsia="仿宋_GB2312"/>
      <w:kern w:val="0"/>
      <w:szCs w:val="20"/>
    </w:rPr>
  </w:style>
  <w:style w:type="paragraph" w:styleId="8">
    <w:name w:val="Body Text"/>
    <w:basedOn w:val="1"/>
    <w:unhideWhenUsed/>
    <w:qFormat/>
    <w:uiPriority w:val="99"/>
    <w:pPr>
      <w:spacing w:after="120"/>
    </w:p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paragraph" w:styleId="13">
    <w:name w:val="Normal (Web)"/>
    <w:basedOn w:val="1"/>
    <w:qFormat/>
    <w:uiPriority w:val="0"/>
    <w:pPr>
      <w:widowControl w:val="0"/>
      <w:spacing w:beforeAutospacing="1" w:afterAutospacing="1" w:line="360" w:lineRule="auto"/>
    </w:pPr>
    <w:rPr>
      <w:rFonts w:ascii="仿宋" w:hAnsi="仿宋" w:eastAsia="仿宋" w:cs="Times New Roman"/>
      <w:color w:val="000000"/>
      <w:kern w:val="0"/>
      <w:sz w:val="24"/>
      <w:szCs w:val="22"/>
      <w:lang w:val="en-US" w:eastAsia="zh-CN" w:bidi="ar-SA"/>
    </w:rPr>
  </w:style>
  <w:style w:type="paragraph" w:styleId="14">
    <w:name w:val="Body Text First Indent"/>
    <w:basedOn w:val="8"/>
    <w:unhideWhenUsed/>
    <w:qFormat/>
    <w:uiPriority w:val="99"/>
    <w:pPr>
      <w:ind w:firstLine="420" w:firstLineChars="100"/>
    </w:p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 w:type="paragraph" w:customStyle="1" w:styleId="19">
    <w:name w:val="WPSOffice手动目录 1"/>
    <w:qFormat/>
    <w:uiPriority w:val="0"/>
    <w:pPr>
      <w:ind w:leftChars="0"/>
    </w:pPr>
    <w:rPr>
      <w:rFonts w:ascii="Times New Roman" w:hAnsi="Times New Roman" w:eastAsia="宋体" w:cs="Times New Roman"/>
      <w:sz w:val="20"/>
      <w:szCs w:val="20"/>
    </w:rPr>
  </w:style>
  <w:style w:type="character" w:customStyle="1" w:styleId="20">
    <w:name w:val="font31"/>
    <w:basedOn w:val="17"/>
    <w:qFormat/>
    <w:uiPriority w:val="0"/>
    <w:rPr>
      <w:rFonts w:hint="eastAsia" w:ascii="宋体" w:hAnsi="宋体" w:eastAsia="宋体" w:cs="宋体"/>
      <w:b/>
      <w:color w:val="000000"/>
      <w:sz w:val="21"/>
      <w:szCs w:val="21"/>
      <w:u w:val="none"/>
    </w:rPr>
  </w:style>
  <w:style w:type="character" w:customStyle="1" w:styleId="21">
    <w:name w:val="font11"/>
    <w:basedOn w:val="17"/>
    <w:qFormat/>
    <w:uiPriority w:val="0"/>
    <w:rPr>
      <w:rFonts w:hint="default" w:ascii="Times New Roman" w:hAnsi="Times New Roman" w:cs="Times New Roman"/>
      <w:b/>
      <w:color w:val="000000"/>
      <w:sz w:val="21"/>
      <w:szCs w:val="21"/>
      <w:u w:val="none"/>
    </w:rPr>
  </w:style>
  <w:style w:type="character" w:customStyle="1" w:styleId="22">
    <w:name w:val="font01"/>
    <w:basedOn w:val="17"/>
    <w:qFormat/>
    <w:uiPriority w:val="0"/>
    <w:rPr>
      <w:rFonts w:hint="eastAsia" w:ascii="宋体" w:hAnsi="宋体" w:eastAsia="宋体" w:cs="宋体"/>
      <w:color w:val="000000"/>
      <w:sz w:val="21"/>
      <w:szCs w:val="21"/>
      <w:u w:val="none"/>
    </w:rPr>
  </w:style>
  <w:style w:type="character" w:customStyle="1" w:styleId="23">
    <w:name w:val="font21"/>
    <w:basedOn w:val="17"/>
    <w:qFormat/>
    <w:uiPriority w:val="0"/>
    <w:rPr>
      <w:rFonts w:hint="default" w:ascii="Times New Roman" w:hAnsi="Times New Roman" w:cs="Times New Roman"/>
      <w:color w:val="000000"/>
      <w:sz w:val="21"/>
      <w:szCs w:val="21"/>
      <w:u w:val="none"/>
    </w:rPr>
  </w:style>
  <w:style w:type="paragraph" w:customStyle="1" w:styleId="24">
    <w:name w:val="正 文"/>
    <w:qFormat/>
    <w:uiPriority w:val="0"/>
    <w:pPr>
      <w:ind w:firstLine="200"/>
    </w:pPr>
    <w:rPr>
      <w:rFonts w:ascii="宋体" w:hAnsi="宋体" w:eastAsia="宋体" w:cs="Times New Roman"/>
      <w:sz w:val="21"/>
      <w:szCs w:val="22"/>
      <w:lang w:val="en-US" w:eastAsia="zh-CN" w:bidi="ar-SA"/>
    </w:rPr>
  </w:style>
  <w:style w:type="character" w:customStyle="1" w:styleId="25">
    <w:name w:val="font51"/>
    <w:basedOn w:val="17"/>
    <w:qFormat/>
    <w:uiPriority w:val="0"/>
    <w:rPr>
      <w:rFonts w:hint="eastAsia" w:ascii="宋体" w:hAnsi="宋体" w:eastAsia="宋体" w:cs="宋体"/>
      <w:b/>
      <w:color w:val="000000"/>
      <w:sz w:val="18"/>
      <w:szCs w:val="18"/>
      <w:u w:val="none"/>
    </w:rPr>
  </w:style>
  <w:style w:type="character" w:customStyle="1" w:styleId="26">
    <w:name w:val="font41"/>
    <w:basedOn w:val="17"/>
    <w:qFormat/>
    <w:uiPriority w:val="0"/>
    <w:rPr>
      <w:rFonts w:hint="default" w:ascii="Times New Roman" w:hAnsi="Times New Roman" w:cs="Times New Roman"/>
      <w:b/>
      <w:color w:val="000000"/>
      <w:sz w:val="18"/>
      <w:szCs w:val="18"/>
      <w:u w:val="none"/>
    </w:rPr>
  </w:style>
  <w:style w:type="character" w:customStyle="1" w:styleId="27">
    <w:name w:val="font71"/>
    <w:basedOn w:val="17"/>
    <w:qFormat/>
    <w:uiPriority w:val="0"/>
    <w:rPr>
      <w:rFonts w:hint="eastAsia" w:ascii="宋体" w:hAnsi="宋体" w:eastAsia="宋体" w:cs="宋体"/>
      <w:b/>
      <w:color w:val="000000"/>
      <w:sz w:val="18"/>
      <w:szCs w:val="18"/>
      <w:u w:val="none"/>
    </w:rPr>
  </w:style>
  <w:style w:type="paragraph" w:customStyle="1" w:styleId="28">
    <w:name w:val="Heading 2"/>
    <w:basedOn w:val="1"/>
    <w:qFormat/>
    <w:uiPriority w:val="0"/>
    <w:pPr>
      <w:outlineLvl w:val="1"/>
    </w:pPr>
    <w:rPr>
      <w:rFonts w:ascii="仿宋" w:eastAsia="仿宋" w:cs="仿宋"/>
      <w:sz w:val="32"/>
      <w:szCs w:val="32"/>
    </w:rPr>
  </w:style>
  <w:style w:type="paragraph" w:customStyle="1" w:styleId="29">
    <w:name w:val="Heading 1"/>
    <w:basedOn w:val="1"/>
    <w:qFormat/>
    <w:uiPriority w:val="0"/>
    <w:pPr>
      <w:outlineLvl w:val="0"/>
    </w:pPr>
    <w:rPr>
      <w:rFonts w:ascii="Microsoft JhengHei" w:eastAsia="Microsoft JhengHei" w:cs="Microsoft JhengHei"/>
      <w:sz w:val="36"/>
      <w:szCs w:val="36"/>
    </w:rPr>
  </w:style>
  <w:style w:type="character" w:customStyle="1" w:styleId="30">
    <w:name w:val="font61"/>
    <w:basedOn w:val="17"/>
    <w:qFormat/>
    <w:uiPriority w:val="0"/>
    <w:rPr>
      <w:rFonts w:hint="eastAsia" w:ascii="宋体" w:hAnsi="宋体" w:eastAsia="宋体" w:cs="宋体"/>
      <w:b/>
      <w:color w:val="000000"/>
      <w:sz w:val="18"/>
      <w:szCs w:val="18"/>
      <w:u w:val="none"/>
    </w:rPr>
  </w:style>
  <w:style w:type="character" w:customStyle="1" w:styleId="31">
    <w:name w:val="font101"/>
    <w:basedOn w:val="17"/>
    <w:qFormat/>
    <w:uiPriority w:val="0"/>
    <w:rPr>
      <w:rFonts w:hint="default" w:ascii="Times New Roman" w:hAnsi="Times New Roman" w:cs="Times New Roman"/>
      <w:color w:val="000000"/>
      <w:sz w:val="18"/>
      <w:szCs w:val="18"/>
      <w:u w:val="none"/>
    </w:rPr>
  </w:style>
  <w:style w:type="character" w:customStyle="1" w:styleId="32">
    <w:name w:val="font81"/>
    <w:basedOn w:val="17"/>
    <w:qFormat/>
    <w:uiPriority w:val="0"/>
    <w:rPr>
      <w:rFonts w:hint="default" w:ascii="Times New Roman" w:hAnsi="Times New Roman" w:cs="Times New Roman"/>
      <w:color w:val="FF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wmf"/><Relationship Id="rId8" Type="http://schemas.openxmlformats.org/officeDocument/2006/relationships/image" Target="media/image3.wmf"/><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1.xml"/><Relationship Id="rId32" Type="http://schemas.openxmlformats.org/officeDocument/2006/relationships/fontTable" Target="fontTable.xml"/><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footer" Target="foot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wmf"/><Relationship Id="rId13" Type="http://schemas.openxmlformats.org/officeDocument/2006/relationships/image" Target="media/image7.wmf"/><Relationship Id="rId12" Type="http://schemas.openxmlformats.org/officeDocument/2006/relationships/image" Target="media/image6.wmf"/><Relationship Id="rId11" Type="http://schemas.openxmlformats.org/officeDocument/2006/relationships/image" Target="media/image5.w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100</Pages>
  <Words>20438</Words>
  <Characters>21546</Characters>
  <Lines>0</Lines>
  <Paragraphs>0</Paragraphs>
  <TotalTime>2</TotalTime>
  <ScaleCrop>false</ScaleCrop>
  <LinksUpToDate>false</LinksUpToDate>
  <CharactersWithSpaces>21710</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2021-08-24T00:53:00Z</dcterms:created>
  <dc:creator>ASUS</dc:creator>
  <cp:lastModifiedBy>龙南市自然资源局</cp:lastModifiedBy>
  <cp:lastPrinted>2022-09-26T09:36:00Z</cp:lastPrinted>
  <dcterms:modified xsi:type="dcterms:W3CDTF">2025-02-14T06:59:55Z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9A3A1E5CCF8F4984A9CAE5AFB354A78A</vt:lpwstr>
  </property>
  <property fmtid="{D5CDD505-2E9C-101B-9397-08002B2CF9AE}" pid="4" name="KSOTemplateDocerSaveRecord">
    <vt:lpwstr>eyJoZGlkIjoiZGE2OGE2ZWVmN2U5YWMwYTA5ODZjM2UyMjMzMDdkMDAiLCJ1c2VySWQiOiI2ODQ5MzUzOTUifQ==</vt:lpwstr>
  </property>
</Properties>
</file>