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Cs w:val="32"/>
        </w:rPr>
      </w:pPr>
      <w:r>
        <w:rPr>
          <w:rFonts w:hint="eastAsia" w:ascii="黑体" w:hAnsi="黑体" w:eastAsia="黑体"/>
          <w:szCs w:val="32"/>
        </w:rPr>
        <w:t>附件4</w:t>
      </w:r>
    </w:p>
    <w:p>
      <w:pPr>
        <w:widowControl/>
        <w:spacing w:after="156" w:afterLines="50" w:line="600" w:lineRule="exact"/>
        <w:jc w:val="center"/>
        <w:rPr>
          <w:rFonts w:ascii="小标宋" w:eastAsia="小标宋"/>
          <w:sz w:val="44"/>
          <w:szCs w:val="44"/>
        </w:rPr>
      </w:pPr>
      <w:r>
        <w:rPr>
          <w:rFonts w:hint="eastAsia" w:ascii="小标宋" w:eastAsia="小标宋"/>
          <w:sz w:val="44"/>
          <w:szCs w:val="44"/>
        </w:rPr>
        <w:t>江西省民办职业培训学校设立评分细则</w:t>
      </w:r>
    </w:p>
    <w:tbl>
      <w:tblPr>
        <w:tblStyle w:val="3"/>
        <w:tblW w:w="149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4"/>
        <w:gridCol w:w="6915"/>
        <w:gridCol w:w="1555"/>
        <w:gridCol w:w="1885"/>
        <w:gridCol w:w="23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0" w:hRule="atLeast"/>
          <w:tblHeader/>
          <w:jc w:val="center"/>
        </w:trPr>
        <w:tc>
          <w:tcPr>
            <w:tcW w:w="1254" w:type="dxa"/>
            <w:tcBorders>
              <w:top w:val="single" w:color="auto" w:sz="12" w:space="0"/>
            </w:tcBorders>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评审</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内容</w:t>
            </w:r>
          </w:p>
        </w:tc>
        <w:tc>
          <w:tcPr>
            <w:tcW w:w="6915" w:type="dxa"/>
            <w:tcBorders>
              <w:top w:val="single" w:color="auto" w:sz="12" w:space="0"/>
            </w:tcBorders>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细化指标</w:t>
            </w:r>
          </w:p>
        </w:tc>
        <w:tc>
          <w:tcPr>
            <w:tcW w:w="1555" w:type="dxa"/>
            <w:tcBorders>
              <w:top w:val="single" w:color="auto" w:sz="12" w:space="0"/>
            </w:tcBorders>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指标类型</w:t>
            </w:r>
          </w:p>
        </w:tc>
        <w:tc>
          <w:tcPr>
            <w:tcW w:w="1885" w:type="dxa"/>
            <w:tcBorders>
              <w:top w:val="single" w:color="auto" w:sz="12" w:space="0"/>
            </w:tcBorders>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满分分值</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（是否符合）</w:t>
            </w:r>
          </w:p>
        </w:tc>
        <w:tc>
          <w:tcPr>
            <w:tcW w:w="2387" w:type="dxa"/>
            <w:tcBorders>
              <w:top w:val="single" w:color="auto" w:sz="12" w:space="0"/>
            </w:tcBorders>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专家评分</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（符合或不符合）</w:t>
            </w:r>
          </w:p>
        </w:tc>
        <w:tc>
          <w:tcPr>
            <w:tcW w:w="992" w:type="dxa"/>
            <w:tcBorders>
              <w:top w:val="single" w:color="auto" w:sz="12" w:space="0"/>
            </w:tcBorders>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扣分原因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举办者</w:t>
            </w: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举办者为国家机构以外的社会组织或个人</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坚持社会主义办学方向；举办涉及保安等特定行业培训项目的提交相关行业主管部</w:t>
            </w:r>
            <w:bookmarkStart w:id="0" w:name="_GoBack"/>
            <w:bookmarkEnd w:id="0"/>
            <w:r>
              <w:rPr>
                <w:rFonts w:asciiTheme="majorEastAsia" w:hAnsiTheme="majorEastAsia" w:eastAsiaTheme="majorEastAsia"/>
                <w:sz w:val="28"/>
                <w:szCs w:val="28"/>
              </w:rPr>
              <w:t>门的审查同意文件</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社会组织具有独立法人资格；自然人具有中国国籍、在国内定居</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诚信状况良好，无犯罪记录</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5</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有政治权利和完全民事行为能力；联合举办的提供联合办学协议</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名称</w:t>
            </w: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经登记管理机关预核准</w:t>
            </w:r>
            <w:r>
              <w:rPr>
                <w:rFonts w:hint="eastAsia" w:asciiTheme="majorEastAsia" w:hAnsiTheme="majorEastAsia" w:eastAsiaTheme="majorEastAsia"/>
                <w:sz w:val="28"/>
                <w:szCs w:val="28"/>
              </w:rPr>
              <w:t>或预留的</w:t>
            </w:r>
            <w:r>
              <w:rPr>
                <w:rFonts w:asciiTheme="majorEastAsia" w:hAnsiTheme="majorEastAsia" w:eastAsiaTheme="majorEastAsia"/>
                <w:sz w:val="28"/>
                <w:szCs w:val="28"/>
              </w:rPr>
              <w:t>校名规范</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jc w:val="center"/>
        </w:trPr>
        <w:tc>
          <w:tcPr>
            <w:tcW w:w="1254"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章程</w:t>
            </w: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章程内容符合《江西省民办职业培训学校设立标准》所列事项要求</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组织</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机构</w:t>
            </w: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按照党章规定成立党组织</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5</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按要求设立董（理）事会或者其他形式的决策机构</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组织</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机构</w:t>
            </w: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决策机构负责人符合资质要求</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6</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建立以校长（行政负责人）为主要负责人的执行机构</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6</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建立相应的监督机构</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6</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7" w:hRule="atLeast"/>
          <w:jc w:val="center"/>
        </w:trPr>
        <w:tc>
          <w:tcPr>
            <w:tcW w:w="1254"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管理</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制度</w:t>
            </w: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制定行政管理、教学管理、安全管理、员工管理、学生管理、档案管理、资产和财务管理、收费和退费管理、设施设备管理、教师培训及考核等制度</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jc w:val="center"/>
        </w:trPr>
        <w:tc>
          <w:tcPr>
            <w:tcW w:w="1254"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法定代表人、校长（行政负责人）及主要管理人员</w:t>
            </w: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法定代表人由决策机构负责人或校长（行政负责人）担任且符合条件要求</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6</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聘任专职校长（行政负责人）负责学校日常培训和管理，校长符合条件要求</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配备符合条件的专职教学管理人员</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6</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3" w:hRule="atLeas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按规定配备具有</w:t>
            </w:r>
            <w:r>
              <w:rPr>
                <w:rFonts w:hint="eastAsia" w:asciiTheme="majorEastAsia" w:hAnsiTheme="majorEastAsia" w:eastAsiaTheme="majorEastAsia"/>
                <w:sz w:val="28"/>
                <w:szCs w:val="28"/>
              </w:rPr>
              <w:t>财会人员从业资格证书（其中高级民办职业培训学校应配备中级及以上会计资格的专职财会人员），会计和出纳不得兼任。</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必备</w:t>
            </w:r>
            <w:r>
              <w:rPr>
                <w:rFonts w:asciiTheme="majorEastAsia" w:hAnsiTheme="majorEastAsia" w:eastAsiaTheme="majorEastAsia"/>
                <w:sz w:val="28"/>
                <w:szCs w:val="28"/>
              </w:rPr>
              <w:t>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按照相关规定配备安全管理人员</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5</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3" w:hRule="atLeast"/>
          <w:jc w:val="center"/>
        </w:trPr>
        <w:tc>
          <w:tcPr>
            <w:tcW w:w="1254"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师资</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队伍</w:t>
            </w: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配备结构合理、数量充足、人员稳定的专兼职教师队伍，专职教师数不少于教师总数的</w:t>
            </w:r>
            <w:r>
              <w:rPr>
                <w:rFonts w:hint="eastAsia" w:asciiTheme="majorEastAsia" w:hAnsiTheme="majorEastAsia" w:eastAsiaTheme="majorEastAsia"/>
                <w:sz w:val="28"/>
                <w:szCs w:val="28"/>
              </w:rPr>
              <w:t>1/3（其中高级民办职业培训学校专职教师一般不少于教师总数的1/2）。</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每个培训职业（工种）至少配备2名文化技术理论课教师和2名生产实习指导教师，</w:t>
            </w:r>
            <w:r>
              <w:rPr>
                <w:rFonts w:asciiTheme="majorEastAsia" w:hAnsiTheme="majorEastAsia" w:eastAsiaTheme="majorEastAsia"/>
                <w:sz w:val="28"/>
                <w:szCs w:val="28"/>
              </w:rPr>
              <w:t>教师年龄不超过</w:t>
            </w:r>
            <w:r>
              <w:rPr>
                <w:rFonts w:hint="eastAsia" w:asciiTheme="majorEastAsia" w:hAnsiTheme="majorEastAsia" w:eastAsiaTheme="majorEastAsia"/>
                <w:sz w:val="28"/>
                <w:szCs w:val="28"/>
              </w:rPr>
              <w:t>6</w:t>
            </w:r>
            <w:r>
              <w:rPr>
                <w:rFonts w:hint="eastAsia" w:asciiTheme="majorEastAsia" w:hAnsiTheme="majorEastAsia" w:eastAsiaTheme="majorEastAsia"/>
                <w:sz w:val="28"/>
                <w:szCs w:val="28"/>
                <w:lang w:val="en-US" w:eastAsia="zh-CN"/>
              </w:rPr>
              <w:t>5</w:t>
            </w:r>
            <w:r>
              <w:rPr>
                <w:rFonts w:asciiTheme="majorEastAsia" w:hAnsiTheme="majorEastAsia" w:eastAsiaTheme="majorEastAsia"/>
                <w:sz w:val="28"/>
                <w:szCs w:val="28"/>
              </w:rPr>
              <w:t>周岁</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必备</w:t>
            </w:r>
            <w:r>
              <w:rPr>
                <w:rFonts w:asciiTheme="majorEastAsia" w:hAnsiTheme="majorEastAsia" w:eastAsiaTheme="majorEastAsia"/>
                <w:sz w:val="28"/>
                <w:szCs w:val="28"/>
              </w:rPr>
              <w:t>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9" w:hRule="atLeas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专兼职教师具备相应的专业资格、资质</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10</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2" w:hRule="atLeast"/>
          <w:jc w:val="center"/>
        </w:trPr>
        <w:tc>
          <w:tcPr>
            <w:tcW w:w="1254"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办学</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投入</w:t>
            </w:r>
          </w:p>
        </w:tc>
        <w:tc>
          <w:tcPr>
            <w:tcW w:w="6915" w:type="dxa"/>
            <w:vAlign w:val="center"/>
          </w:tcPr>
          <w:p>
            <w:pPr>
              <w:widowControl/>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初级民办职业培训学校的固定资产达到10万元以上，注册资金5万元以上；举办中级民办职业培训学校的固定资产达到20万元以上，注册资金10万元以上；举办高级民办职业培训学校的固定资产达到50万元以上，注册资金50万元以上。</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举办者履行相应的出资义务，及时足额实缴开办资金</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5</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履行法定出资验资程序，依法落实法人财产权，涉及国资或外商投资企业的要符合相关管理规定</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5</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0" w:hRule="atLeast"/>
          <w:jc w:val="center"/>
        </w:trPr>
        <w:tc>
          <w:tcPr>
            <w:tcW w:w="1254"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办学</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场所和</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设施</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设备</w:t>
            </w:r>
          </w:p>
        </w:tc>
        <w:tc>
          <w:tcPr>
            <w:tcW w:w="6915" w:type="dxa"/>
            <w:vAlign w:val="center"/>
          </w:tcPr>
          <w:p>
            <w:pPr>
              <w:widowControl/>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举办初级民办职业培训学校依法设立的校区实际使用的办学场所面积不少于200平方米。其中，实训场地面积不少于办学场所面积的1/3</w:t>
            </w:r>
            <w:r>
              <w:rPr>
                <w:rFonts w:asciiTheme="majorEastAsia" w:hAnsiTheme="majorEastAsia" w:eastAsiaTheme="majorEastAsia"/>
                <w:sz w:val="28"/>
                <w:szCs w:val="28"/>
              </w:rPr>
              <w:t>。</w:t>
            </w:r>
          </w:p>
          <w:p>
            <w:pPr>
              <w:widowControl/>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举办中级民办职业培训学校法人依法设立的校区实际使用的办学场所面积不少于300平方米。其中，实训场地面积不少于办学场所面积的1/3</w:t>
            </w:r>
            <w:r>
              <w:rPr>
                <w:rFonts w:asciiTheme="majorEastAsia" w:hAnsiTheme="majorEastAsia" w:eastAsiaTheme="majorEastAsia"/>
                <w:sz w:val="28"/>
                <w:szCs w:val="28"/>
              </w:rPr>
              <w:t>。</w:t>
            </w:r>
          </w:p>
          <w:p>
            <w:pPr>
              <w:widowControl/>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举办高级民办职业培训学校依法设立的校区实际使用的办学场所面积不少于400平方米。其中，实训场地面积不少于办学场所面积的1/3</w:t>
            </w:r>
            <w:r>
              <w:rPr>
                <w:rFonts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有合法产权证明；租用场所办学的租赁期限自申请办学之日起不得少于</w:t>
            </w:r>
            <w:r>
              <w:rPr>
                <w:rFonts w:hint="eastAsia" w:asciiTheme="majorEastAsia" w:hAnsiTheme="majorEastAsia" w:eastAsiaTheme="majorEastAsia"/>
                <w:sz w:val="28"/>
                <w:szCs w:val="28"/>
              </w:rPr>
              <w:t>5</w:t>
            </w:r>
            <w:r>
              <w:rPr>
                <w:rFonts w:asciiTheme="majorEastAsia" w:hAnsiTheme="majorEastAsia" w:eastAsiaTheme="majorEastAsia"/>
                <w:sz w:val="28"/>
                <w:szCs w:val="28"/>
              </w:rPr>
              <w:t>年</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符合消防、建筑、卫生、防疫、环保等安全要求以及食宿、医疗要求</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配备与办学规模相适应的教学及实训设施设备</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10</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实训工位设置应当充足，实训设施设备</w:t>
            </w:r>
            <w:r>
              <w:rPr>
                <w:rFonts w:hint="eastAsia" w:asciiTheme="majorEastAsia" w:hAnsiTheme="majorEastAsia" w:eastAsiaTheme="majorEastAsia"/>
                <w:sz w:val="28"/>
                <w:szCs w:val="28"/>
              </w:rPr>
              <w:t>不低于</w:t>
            </w:r>
            <w:r>
              <w:rPr>
                <w:rFonts w:asciiTheme="majorEastAsia" w:hAnsiTheme="majorEastAsia" w:eastAsiaTheme="majorEastAsia"/>
                <w:sz w:val="28"/>
                <w:szCs w:val="28"/>
              </w:rPr>
              <w:t>2-6人一台（套）</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10</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2" w:hRule="atLeast"/>
          <w:jc w:val="center"/>
        </w:trPr>
        <w:tc>
          <w:tcPr>
            <w:tcW w:w="1254"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办学</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场所和</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设施</w:t>
            </w:r>
          </w:p>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设备</w:t>
            </w:r>
          </w:p>
        </w:tc>
        <w:tc>
          <w:tcPr>
            <w:tcW w:w="6915" w:type="dxa"/>
            <w:vAlign w:val="center"/>
          </w:tcPr>
          <w:p>
            <w:pPr>
              <w:widowControl/>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办学许可证办学类型载明的职业（工种）在2个以内的，年培训人数不低于200人；2个以上的，每增加1个职业（工种），年培训人数应相应增加100人。</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exact"/>
          <w:jc w:val="center"/>
        </w:trPr>
        <w:tc>
          <w:tcPr>
            <w:tcW w:w="1254" w:type="dxa"/>
            <w:vMerge w:val="restart"/>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培训项目、课程及教材</w:t>
            </w: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具有与培训专业（职业、工种）相对应的教学（培训）计划、大纲，符合国家职业标准</w:t>
            </w:r>
            <w:r>
              <w:rPr>
                <w:rFonts w:hint="eastAsia" w:asciiTheme="majorEastAsia" w:hAnsiTheme="majorEastAsia" w:eastAsiaTheme="majorEastAsia"/>
                <w:sz w:val="28"/>
                <w:szCs w:val="28"/>
              </w:rPr>
              <w:t>（行业企业评价规范）</w:t>
            </w:r>
            <w:r>
              <w:rPr>
                <w:rFonts w:asciiTheme="majorEastAsia" w:hAnsiTheme="majorEastAsia" w:eastAsiaTheme="majorEastAsia"/>
                <w:sz w:val="28"/>
                <w:szCs w:val="28"/>
              </w:rPr>
              <w:t>及相关要求</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必备指标</w:t>
            </w:r>
          </w:p>
        </w:tc>
        <w:tc>
          <w:tcPr>
            <w:tcW w:w="1885" w:type="dxa"/>
            <w:vAlign w:val="center"/>
          </w:tcPr>
          <w:p>
            <w:pPr>
              <w:widowControl/>
              <w:spacing w:line="400" w:lineRule="exact"/>
              <w:jc w:val="center"/>
              <w:rPr>
                <w:rFonts w:asciiTheme="majorEastAsia" w:hAnsiTheme="majorEastAsia" w:eastAsiaTheme="majorEastAsia"/>
                <w:sz w:val="28"/>
                <w:szCs w:val="28"/>
              </w:rPr>
            </w:pP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培训项目符合国家及本省有关规定，具有明确的培养目标，不得违背教育规律和学员身心发展规律</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5</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4" w:hRule="exact"/>
          <w:jc w:val="center"/>
        </w:trPr>
        <w:tc>
          <w:tcPr>
            <w:tcW w:w="1254" w:type="dxa"/>
            <w:vMerge w:val="continue"/>
            <w:vAlign w:val="center"/>
          </w:tcPr>
          <w:p>
            <w:pPr>
              <w:widowControl/>
              <w:spacing w:line="400" w:lineRule="exact"/>
              <w:jc w:val="center"/>
              <w:rPr>
                <w:rFonts w:asciiTheme="majorEastAsia" w:hAnsiTheme="majorEastAsia" w:eastAsiaTheme="majorEastAsia"/>
                <w:sz w:val="28"/>
                <w:szCs w:val="28"/>
              </w:rPr>
            </w:pPr>
          </w:p>
        </w:tc>
        <w:tc>
          <w:tcPr>
            <w:tcW w:w="6915" w:type="dxa"/>
            <w:vAlign w:val="center"/>
          </w:tcPr>
          <w:p>
            <w:pPr>
              <w:widowControl/>
              <w:spacing w:line="40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选用与其培训项目及培训计划相匹配的合法合规教材；以互联网等信息网络方式提供教学服务的符合国家及本省有关信息网络方面的相关规定</w:t>
            </w:r>
            <w:r>
              <w:rPr>
                <w:rFonts w:hint="eastAsia" w:asciiTheme="majorEastAsia" w:hAnsiTheme="majorEastAsia" w:eastAsiaTheme="majorEastAsia"/>
                <w:sz w:val="28"/>
                <w:szCs w:val="28"/>
              </w:rPr>
              <w:t>。</w:t>
            </w:r>
          </w:p>
        </w:tc>
        <w:tc>
          <w:tcPr>
            <w:tcW w:w="1555" w:type="dxa"/>
            <w:vAlign w:val="center"/>
          </w:tcPr>
          <w:p>
            <w:pPr>
              <w:widowControl/>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水平指标</w:t>
            </w:r>
          </w:p>
        </w:tc>
        <w:tc>
          <w:tcPr>
            <w:tcW w:w="1885" w:type="dxa"/>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10</w:t>
            </w:r>
          </w:p>
        </w:tc>
        <w:tc>
          <w:tcPr>
            <w:tcW w:w="2387" w:type="dxa"/>
            <w:vAlign w:val="center"/>
          </w:tcPr>
          <w:p>
            <w:pPr>
              <w:widowControl/>
              <w:spacing w:line="400" w:lineRule="exact"/>
              <w:jc w:val="center"/>
              <w:rPr>
                <w:rFonts w:asciiTheme="majorEastAsia" w:hAnsiTheme="majorEastAsia" w:eastAsiaTheme="majorEastAsia"/>
                <w:sz w:val="28"/>
                <w:szCs w:val="28"/>
              </w:rPr>
            </w:pPr>
          </w:p>
        </w:tc>
        <w:tc>
          <w:tcPr>
            <w:tcW w:w="992" w:type="dxa"/>
            <w:vAlign w:val="center"/>
          </w:tcPr>
          <w:p>
            <w:pPr>
              <w:widowControl/>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1254" w:type="dxa"/>
            <w:vMerge w:val="continue"/>
            <w:tcBorders>
              <w:bottom w:val="single" w:color="auto" w:sz="12" w:space="0"/>
            </w:tcBorders>
            <w:vAlign w:val="center"/>
          </w:tcPr>
          <w:p>
            <w:pPr>
              <w:widowControl/>
              <w:spacing w:line="400" w:lineRule="exact"/>
              <w:jc w:val="center"/>
              <w:rPr>
                <w:rFonts w:asciiTheme="majorEastAsia" w:hAnsiTheme="majorEastAsia" w:eastAsiaTheme="majorEastAsia"/>
                <w:sz w:val="28"/>
                <w:szCs w:val="28"/>
              </w:rPr>
            </w:pPr>
          </w:p>
        </w:tc>
        <w:tc>
          <w:tcPr>
            <w:tcW w:w="6915" w:type="dxa"/>
            <w:tcBorders>
              <w:bottom w:val="single" w:color="auto" w:sz="12" w:space="0"/>
            </w:tcBorders>
            <w:vAlign w:val="center"/>
          </w:tcPr>
          <w:p>
            <w:pPr>
              <w:widowControl/>
              <w:spacing w:line="40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利用互联网技术在线实施教育活动的民办职业培训学校取得相应的办学许可。</w:t>
            </w:r>
          </w:p>
        </w:tc>
        <w:tc>
          <w:tcPr>
            <w:tcW w:w="1555" w:type="dxa"/>
            <w:tcBorders>
              <w:bottom w:val="single" w:color="auto" w:sz="12" w:space="0"/>
            </w:tcBorders>
            <w:vAlign w:val="center"/>
          </w:tcPr>
          <w:p>
            <w:pPr>
              <w:widowControl/>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必备指标</w:t>
            </w:r>
          </w:p>
        </w:tc>
        <w:tc>
          <w:tcPr>
            <w:tcW w:w="1885" w:type="dxa"/>
            <w:tcBorders>
              <w:bottom w:val="single" w:color="auto" w:sz="12" w:space="0"/>
            </w:tcBorders>
            <w:vAlign w:val="center"/>
          </w:tcPr>
          <w:p>
            <w:pPr>
              <w:widowControl/>
              <w:spacing w:line="400" w:lineRule="exact"/>
              <w:jc w:val="center"/>
              <w:rPr>
                <w:rFonts w:asciiTheme="majorEastAsia" w:hAnsiTheme="majorEastAsia" w:eastAsiaTheme="majorEastAsia"/>
                <w:sz w:val="28"/>
                <w:szCs w:val="28"/>
              </w:rPr>
            </w:pPr>
          </w:p>
        </w:tc>
        <w:tc>
          <w:tcPr>
            <w:tcW w:w="2387" w:type="dxa"/>
            <w:tcBorders>
              <w:bottom w:val="single" w:color="auto" w:sz="12" w:space="0"/>
            </w:tcBorders>
            <w:vAlign w:val="center"/>
          </w:tcPr>
          <w:p>
            <w:pPr>
              <w:widowControl/>
              <w:spacing w:line="400" w:lineRule="exact"/>
              <w:jc w:val="center"/>
              <w:rPr>
                <w:rFonts w:asciiTheme="majorEastAsia" w:hAnsiTheme="majorEastAsia" w:eastAsiaTheme="majorEastAsia"/>
                <w:sz w:val="28"/>
                <w:szCs w:val="28"/>
              </w:rPr>
            </w:pPr>
          </w:p>
        </w:tc>
        <w:tc>
          <w:tcPr>
            <w:tcW w:w="992" w:type="dxa"/>
            <w:tcBorders>
              <w:bottom w:val="single" w:color="auto" w:sz="12" w:space="0"/>
            </w:tcBorders>
            <w:vAlign w:val="center"/>
          </w:tcPr>
          <w:p>
            <w:pPr>
              <w:widowControl/>
              <w:spacing w:line="400" w:lineRule="exact"/>
              <w:jc w:val="center"/>
              <w:rPr>
                <w:rFonts w:asciiTheme="majorEastAsia" w:hAnsiTheme="majorEastAsia" w:eastAsiaTheme="majorEastAsia"/>
                <w:sz w:val="28"/>
                <w:szCs w:val="28"/>
              </w:rPr>
            </w:pPr>
          </w:p>
        </w:tc>
      </w:tr>
    </w:tbl>
    <w:p>
      <w:pPr>
        <w:rPr>
          <w:rFonts w:asciiTheme="majorEastAsia" w:hAnsiTheme="majorEastAsia" w:eastAsiaTheme="majorEastAsia"/>
          <w:sz w:val="21"/>
          <w:szCs w:val="21"/>
        </w:rPr>
      </w:pPr>
      <w:r>
        <w:rPr>
          <w:rFonts w:hint="eastAsia" w:asciiTheme="majorEastAsia" w:hAnsiTheme="majorEastAsia" w:eastAsiaTheme="majorEastAsia"/>
          <w:sz w:val="21"/>
          <w:szCs w:val="21"/>
        </w:rPr>
        <w:t>注：1.对表中所列的必备指标均实行“一票否决”制，即所有必备指标必须符合，否则视为不具备办学条件。</w:t>
      </w:r>
    </w:p>
    <w:p>
      <w:pPr>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2.水平指标满分分值为100分，对不能完全满足某项水平指标要求的可适当扣分，直至将该项指标分值扣完为止。</w:t>
      </w:r>
    </w:p>
    <w:p>
      <w:pPr>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3.所有必备指标符合，且水平指标评审总分在80分以上的可视为评审通过，具备办学条件。</w:t>
      </w:r>
    </w:p>
    <w:p>
      <w:pPr>
        <w:rPr>
          <w:rFonts w:asciiTheme="majorEastAsia" w:hAnsiTheme="majorEastAsia" w:eastAsiaTheme="majorEastAsia"/>
          <w:sz w:val="21"/>
          <w:szCs w:val="21"/>
        </w:rPr>
        <w:sectPr>
          <w:pgSz w:w="16838" w:h="11906" w:orient="landscape"/>
          <w:pgMar w:top="1134" w:right="1418" w:bottom="1134" w:left="1985" w:header="851" w:footer="567"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YjFlZjg3NDc5NjMzZGRlNDJlY2M5MmYwNjM3NjkifQ=="/>
  </w:docVars>
  <w:rsids>
    <w:rsidRoot w:val="00000000"/>
    <w:rsid w:val="3C932E9F"/>
    <w:rsid w:val="4C55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1775</Words>
  <Characters>1813</Characters>
  <Lines>0</Lines>
  <Paragraphs>0</Paragraphs>
  <TotalTime>0</TotalTime>
  <ScaleCrop>false</ScaleCrop>
  <LinksUpToDate>false</LinksUpToDate>
  <CharactersWithSpaces>1813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2022-09-08T03:31:00Z</dcterms:created>
  <dc:creator>Administrator</dc:creator>
  <cp:lastModifiedBy>Administrator</cp:lastModifiedBy>
  <dcterms:modified xsi:type="dcterms:W3CDTF">2022-09-08T07:09:15Z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9A86A8DE1FF14ACBBA8D90DE0F10D52A</vt:lpwstr>
  </property>
</Properties>
</file>