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龙南中专东江校区多功能报告厅设施设备采购项目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龙南中专东江校区多功能报告厅设施设备采购项目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龙南中专东江校区多功能报告厅设施设备采购项目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0EF60EB4"/>
    <w:rsid w:val="11C3156F"/>
    <w:rsid w:val="255478A2"/>
    <w:rsid w:val="28DA4126"/>
    <w:rsid w:val="47F128C7"/>
    <w:rsid w:val="4A640B66"/>
    <w:rsid w:val="4BA22BA5"/>
    <w:rsid w:val="4E98110F"/>
    <w:rsid w:val="5A905072"/>
    <w:rsid w:val="69D72B22"/>
    <w:rsid w:val="73131A58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443</Characters>
  <Lines>0</Lines>
  <Paragraphs>0</Paragraphs>
  <TotalTime>3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廖鑫</cp:lastModifiedBy>
  <dcterms:modified xsi:type="dcterms:W3CDTF">2025-10-10T08:02:51Z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eyJoZGlkIjoiZjU2ODE0OWNiMTJjNTIyODQzMmZmMmRmYWZiODY1ZGMiLCJ1c2VySWQiOiIyMTk0NjYzNyJ9</vt:lpwstr>
  </property>
  <property fmtid="{D5CDD505-2E9C-101B-9397-08002B2CF9AE}" pid="4" name="ICV">
    <vt:lpwstr>D73C470559984D8492C095951D3B6691_13</vt:lpwstr>
  </property>
</Properties>
</file>